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FE5F" w14:textId="5D5A4A9F" w:rsidR="003D09CA" w:rsidRPr="00C572B0" w:rsidRDefault="003D09CA" w:rsidP="003D09CA">
      <w:pPr>
        <w:spacing w:after="0"/>
        <w:rPr>
          <w:b/>
          <w:bCs/>
          <w:sz w:val="32"/>
          <w:szCs w:val="32"/>
        </w:rPr>
      </w:pPr>
      <w:r w:rsidRPr="00C572B0">
        <w:rPr>
          <w:b/>
          <w:bCs/>
          <w:sz w:val="32"/>
          <w:szCs w:val="32"/>
        </w:rPr>
        <w:t>2023/24 Categorisation</w:t>
      </w:r>
      <w:r w:rsidR="00FE1624" w:rsidRPr="00C572B0">
        <w:rPr>
          <w:b/>
          <w:bCs/>
          <w:sz w:val="32"/>
          <w:szCs w:val="32"/>
        </w:rPr>
        <w:t xml:space="preserve"> – Primary </w:t>
      </w:r>
      <w:r w:rsidR="00C572B0">
        <w:rPr>
          <w:b/>
          <w:bCs/>
          <w:sz w:val="32"/>
          <w:szCs w:val="32"/>
        </w:rPr>
        <w:t>Phase</w:t>
      </w:r>
    </w:p>
    <w:p w14:paraId="389103E0" w14:textId="77777777" w:rsidR="00D216FA" w:rsidRDefault="00D216FA" w:rsidP="003D09CA">
      <w:pPr>
        <w:spacing w:after="0"/>
        <w:rPr>
          <w:b/>
          <w:bCs/>
        </w:rPr>
      </w:pPr>
    </w:p>
    <w:p w14:paraId="1A631608" w14:textId="77777777" w:rsidR="00C3130F" w:rsidRPr="00C572B0" w:rsidRDefault="00C3130F" w:rsidP="00C3130F">
      <w:pPr>
        <w:spacing w:after="0"/>
        <w:rPr>
          <w:b/>
          <w:bCs/>
          <w:sz w:val="24"/>
          <w:szCs w:val="24"/>
          <w:u w:val="single"/>
        </w:rPr>
      </w:pPr>
      <w:r w:rsidRPr="00C572B0">
        <w:rPr>
          <w:b/>
          <w:bCs/>
          <w:sz w:val="24"/>
          <w:szCs w:val="24"/>
          <w:u w:val="single"/>
        </w:rPr>
        <w:t>Support for schools</w:t>
      </w:r>
    </w:p>
    <w:p w14:paraId="6650DF36" w14:textId="77777777" w:rsidR="00C3130F" w:rsidRDefault="00C3130F" w:rsidP="00C3130F">
      <w:pPr>
        <w:spacing w:after="0"/>
      </w:pPr>
    </w:p>
    <w:p w14:paraId="478FFE32" w14:textId="77777777" w:rsidR="00C3130F" w:rsidRPr="001817D5" w:rsidRDefault="00C3130F" w:rsidP="00C3130F">
      <w:pPr>
        <w:spacing w:after="0"/>
        <w:rPr>
          <w:b/>
          <w:bCs/>
          <w:color w:val="0070C0"/>
        </w:rPr>
      </w:pPr>
      <w:r w:rsidRPr="001817D5">
        <w:rPr>
          <w:b/>
          <w:bCs/>
          <w:color w:val="0070C0"/>
        </w:rPr>
        <w:t>Why do we categorise schools?</w:t>
      </w:r>
    </w:p>
    <w:p w14:paraId="7A17AD5C" w14:textId="77777777" w:rsidR="00C3130F" w:rsidRDefault="00C3130F" w:rsidP="00C3130F">
      <w:pPr>
        <w:spacing w:after="0"/>
      </w:pPr>
    </w:p>
    <w:p w14:paraId="7962A385" w14:textId="77777777" w:rsidR="00C3130F" w:rsidRDefault="00C3130F" w:rsidP="00C3130F">
      <w:pPr>
        <w:spacing w:after="0"/>
      </w:pPr>
      <w:r>
        <w:t>To identify schools in need of support within the city’s school-to-school improvement model.</w:t>
      </w:r>
    </w:p>
    <w:p w14:paraId="58282452" w14:textId="77777777" w:rsidR="00C3130F" w:rsidRDefault="00C3130F" w:rsidP="00C3130F">
      <w:pPr>
        <w:spacing w:after="0"/>
      </w:pPr>
    </w:p>
    <w:p w14:paraId="17063323" w14:textId="77777777" w:rsidR="00C3130F" w:rsidRDefault="00C3130F" w:rsidP="00C3130F">
      <w:pPr>
        <w:spacing w:after="0"/>
      </w:pPr>
      <w:r>
        <w:t>Categorisation impacts on:</w:t>
      </w:r>
    </w:p>
    <w:p w14:paraId="63E474EB" w14:textId="77777777" w:rsidR="00C3130F" w:rsidRDefault="00C3130F" w:rsidP="00C3130F">
      <w:pPr>
        <w:pStyle w:val="ListParagraph"/>
        <w:numPr>
          <w:ilvl w:val="0"/>
          <w:numId w:val="16"/>
        </w:numPr>
        <w:spacing w:after="0"/>
      </w:pPr>
      <w:r>
        <w:t xml:space="preserve">The level of CMO support schools </w:t>
      </w:r>
      <w:proofErr w:type="gramStart"/>
      <w:r>
        <w:t>receive</w:t>
      </w:r>
      <w:proofErr w:type="gramEnd"/>
    </w:p>
    <w:p w14:paraId="4E6645D8" w14:textId="77777777" w:rsidR="00C3130F" w:rsidRDefault="00C3130F" w:rsidP="00C3130F">
      <w:pPr>
        <w:pStyle w:val="ListParagraph"/>
        <w:numPr>
          <w:ilvl w:val="0"/>
          <w:numId w:val="16"/>
        </w:numPr>
        <w:spacing w:after="0"/>
      </w:pPr>
      <w:r>
        <w:t xml:space="preserve">Identification of focus schools that are eligible for focussed network </w:t>
      </w:r>
      <w:proofErr w:type="gramStart"/>
      <w:r>
        <w:t>support</w:t>
      </w:r>
      <w:proofErr w:type="gramEnd"/>
    </w:p>
    <w:p w14:paraId="44924D94" w14:textId="77777777" w:rsidR="00C3130F" w:rsidRDefault="00C3130F" w:rsidP="00C3130F">
      <w:pPr>
        <w:pStyle w:val="ListParagraph"/>
        <w:numPr>
          <w:ilvl w:val="0"/>
          <w:numId w:val="16"/>
        </w:numPr>
        <w:spacing w:after="0"/>
      </w:pPr>
      <w:r>
        <w:t>Funding for networks</w:t>
      </w:r>
    </w:p>
    <w:p w14:paraId="3BB70600" w14:textId="77777777" w:rsidR="00C3130F" w:rsidRDefault="00C3130F" w:rsidP="00C3130F">
      <w:pPr>
        <w:spacing w:after="0"/>
      </w:pPr>
    </w:p>
    <w:p w14:paraId="776E02AA" w14:textId="77777777" w:rsidR="00C3130F" w:rsidRPr="001817D5" w:rsidRDefault="00C3130F" w:rsidP="00C3130F">
      <w:pPr>
        <w:spacing w:after="0"/>
        <w:rPr>
          <w:b/>
          <w:bCs/>
          <w:color w:val="0070C0"/>
        </w:rPr>
      </w:pPr>
      <w:r w:rsidRPr="001817D5">
        <w:rPr>
          <w:b/>
          <w:bCs/>
          <w:color w:val="0070C0"/>
        </w:rPr>
        <w:t>How do we categorise schools?</w:t>
      </w:r>
    </w:p>
    <w:p w14:paraId="52693DB3" w14:textId="77777777" w:rsidR="00C3130F" w:rsidRDefault="00C3130F" w:rsidP="00C3130F">
      <w:pPr>
        <w:spacing w:after="0"/>
      </w:pPr>
    </w:p>
    <w:p w14:paraId="2A70E54E" w14:textId="77777777" w:rsidR="00C3130F" w:rsidRDefault="00C3130F" w:rsidP="00C3130F">
      <w:pPr>
        <w:spacing w:after="0"/>
      </w:pPr>
      <w:r>
        <w:t>The core criteria are:</w:t>
      </w:r>
    </w:p>
    <w:p w14:paraId="48199CAE" w14:textId="77777777" w:rsidR="00C3130F" w:rsidRDefault="00C3130F" w:rsidP="00C3130F">
      <w:pPr>
        <w:pStyle w:val="ListParagraph"/>
        <w:numPr>
          <w:ilvl w:val="0"/>
          <w:numId w:val="4"/>
        </w:numPr>
        <w:spacing w:after="0"/>
      </w:pPr>
      <w:r>
        <w:t>Overall effectiveness (Ofsted judgements or school self-evaluation preceding Ofsted)</w:t>
      </w:r>
    </w:p>
    <w:p w14:paraId="199C93A8" w14:textId="77777777" w:rsidR="00C3130F" w:rsidRDefault="00C3130F" w:rsidP="00C3130F">
      <w:pPr>
        <w:pStyle w:val="ListParagraph"/>
        <w:numPr>
          <w:ilvl w:val="0"/>
          <w:numId w:val="4"/>
        </w:numPr>
        <w:spacing w:after="0"/>
      </w:pPr>
      <w:r>
        <w:t>Capacity of Senior Leadership (including change)</w:t>
      </w:r>
    </w:p>
    <w:p w14:paraId="26D962B5" w14:textId="77777777" w:rsidR="00C3130F" w:rsidRDefault="00C3130F" w:rsidP="00C3130F">
      <w:pPr>
        <w:pStyle w:val="ListParagraph"/>
        <w:numPr>
          <w:ilvl w:val="0"/>
          <w:numId w:val="4"/>
        </w:numPr>
        <w:spacing w:after="0"/>
      </w:pPr>
      <w:r>
        <w:t>Achievement Data</w:t>
      </w:r>
    </w:p>
    <w:p w14:paraId="7CAC88F3" w14:textId="77777777" w:rsidR="00C3130F" w:rsidRDefault="00C3130F" w:rsidP="00C3130F">
      <w:pPr>
        <w:spacing w:after="0"/>
      </w:pPr>
    </w:p>
    <w:p w14:paraId="020ED242" w14:textId="77777777" w:rsidR="00C3130F" w:rsidRDefault="00C3130F" w:rsidP="00C3130F">
      <w:pPr>
        <w:spacing w:after="0"/>
      </w:pPr>
      <w:r>
        <w:t>Other measurable data factors will be taken into consideration (</w:t>
      </w:r>
      <w:proofErr w:type="gramStart"/>
      <w:r>
        <w:t>e.g.</w:t>
      </w:r>
      <w:proofErr w:type="gramEnd"/>
      <w:r>
        <w:t xml:space="preserve"> attendance data, financial sustainability).  However, these are not criteria in their own right – they will be taken into consideration where they have the potential to have an impact on the overall effectiveness of the school (</w:t>
      </w:r>
      <w:proofErr w:type="gramStart"/>
      <w:r>
        <w:t>i.e.</w:t>
      </w:r>
      <w:proofErr w:type="gramEnd"/>
      <w:r>
        <w:t xml:space="preserve"> linked to Ofsted outcomes).</w:t>
      </w:r>
    </w:p>
    <w:p w14:paraId="0DA4EABF" w14:textId="77777777" w:rsidR="00C3130F" w:rsidRDefault="00C3130F" w:rsidP="00C3130F"/>
    <w:p w14:paraId="0ACE60C8" w14:textId="77777777" w:rsidR="00C3130F" w:rsidRPr="001817D5" w:rsidRDefault="00C3130F" w:rsidP="00C3130F">
      <w:pPr>
        <w:spacing w:after="0"/>
        <w:rPr>
          <w:b/>
          <w:bCs/>
          <w:color w:val="0070C0"/>
        </w:rPr>
      </w:pPr>
      <w:r w:rsidRPr="001817D5">
        <w:rPr>
          <w:b/>
          <w:bCs/>
          <w:color w:val="0070C0"/>
        </w:rPr>
        <w:t>What categories do we use?</w:t>
      </w:r>
    </w:p>
    <w:p w14:paraId="2A639666" w14:textId="77777777" w:rsidR="00C3130F" w:rsidRDefault="00C3130F" w:rsidP="00C3130F">
      <w:pPr>
        <w:spacing w:after="0"/>
      </w:pPr>
    </w:p>
    <w:p w14:paraId="498D944E" w14:textId="77777777" w:rsidR="00C3130F" w:rsidRDefault="00C3130F" w:rsidP="00C3130F">
      <w:pPr>
        <w:pStyle w:val="ListParagraph"/>
        <w:numPr>
          <w:ilvl w:val="0"/>
          <w:numId w:val="2"/>
        </w:numPr>
        <w:spacing w:after="0"/>
      </w:pPr>
      <w:r>
        <w:t>Category 1 – SIB School (maintained only)</w:t>
      </w:r>
    </w:p>
    <w:p w14:paraId="577F5897" w14:textId="77777777" w:rsidR="00C3130F" w:rsidRDefault="00C3130F" w:rsidP="00C3130F">
      <w:pPr>
        <w:pStyle w:val="ListParagraph"/>
        <w:numPr>
          <w:ilvl w:val="0"/>
          <w:numId w:val="2"/>
        </w:numPr>
        <w:spacing w:after="0"/>
      </w:pPr>
      <w:r>
        <w:t>Category 2 – Focus School Plus (maintained only)</w:t>
      </w:r>
    </w:p>
    <w:p w14:paraId="4B76740B" w14:textId="77777777" w:rsidR="00C3130F" w:rsidRDefault="00C3130F" w:rsidP="00C3130F">
      <w:pPr>
        <w:pStyle w:val="ListParagraph"/>
        <w:numPr>
          <w:ilvl w:val="0"/>
          <w:numId w:val="2"/>
        </w:numPr>
        <w:spacing w:after="0"/>
      </w:pPr>
      <w:r>
        <w:t>Category 3 – Focus School</w:t>
      </w:r>
    </w:p>
    <w:p w14:paraId="1A4EA603" w14:textId="77777777" w:rsidR="00C3130F" w:rsidRDefault="00C3130F" w:rsidP="00C3130F">
      <w:pPr>
        <w:pStyle w:val="ListParagraph"/>
        <w:numPr>
          <w:ilvl w:val="0"/>
          <w:numId w:val="2"/>
        </w:numPr>
        <w:spacing w:after="0"/>
      </w:pPr>
      <w:r>
        <w:t xml:space="preserve">Category 4 – No support need </w:t>
      </w:r>
      <w:proofErr w:type="gramStart"/>
      <w:r>
        <w:t>identified</w:t>
      </w:r>
      <w:proofErr w:type="gramEnd"/>
    </w:p>
    <w:p w14:paraId="564376AA" w14:textId="77777777" w:rsidR="00C3130F" w:rsidRDefault="00C3130F" w:rsidP="00C3130F">
      <w:pPr>
        <w:spacing w:after="0"/>
      </w:pPr>
    </w:p>
    <w:p w14:paraId="752C2CB9" w14:textId="77777777" w:rsidR="00C3130F" w:rsidRDefault="00C3130F" w:rsidP="00C3130F">
      <w:pPr>
        <w:spacing w:after="0"/>
      </w:pPr>
      <w:r>
        <w:t xml:space="preserve">Each school will also receive a letter reflecting a data designation.  This is based on </w:t>
      </w:r>
      <w:proofErr w:type="gramStart"/>
      <w:r>
        <w:t>a number of</w:t>
      </w:r>
      <w:proofErr w:type="gramEnd"/>
      <w:r>
        <w:t xml:space="preserve"> measures (including EYFS and KS2 data) over time.  Data points significantly below national averages are flagged with the accumulated number of flags corresponding to an overall achievement designation from A (higher number of flags) to D (lower number of flags).</w:t>
      </w:r>
    </w:p>
    <w:p w14:paraId="3ABCB4A9" w14:textId="77777777" w:rsidR="00C3130F" w:rsidRDefault="00C3130F" w:rsidP="00C3130F">
      <w:pPr>
        <w:spacing w:after="0"/>
      </w:pPr>
    </w:p>
    <w:p w14:paraId="746B902F" w14:textId="77777777" w:rsidR="00C3130F" w:rsidRDefault="00C3130F" w:rsidP="00C3130F">
      <w:pPr>
        <w:spacing w:after="0"/>
      </w:pPr>
      <w:r>
        <w:t>These two processes elements combine to give each school an overall categorisation indicator.  For example, 1A would indicate a SIB school with significant challenges in data.  4D would suggest a school with no support need identified and no data flags identified.</w:t>
      </w:r>
    </w:p>
    <w:p w14:paraId="2DB65616" w14:textId="77777777" w:rsidR="00B24A6A" w:rsidRDefault="00B24A6A" w:rsidP="00C3130F">
      <w:pPr>
        <w:spacing w:after="0"/>
      </w:pPr>
    </w:p>
    <w:p w14:paraId="7E63F440" w14:textId="77777777" w:rsidR="00B24A6A" w:rsidRDefault="00B24A6A" w:rsidP="00C3130F">
      <w:pPr>
        <w:spacing w:after="0"/>
      </w:pPr>
    </w:p>
    <w:p w14:paraId="33ED000E" w14:textId="4C6C44A4" w:rsidR="00312E93" w:rsidRDefault="00312E93" w:rsidP="00C3130F">
      <w:pPr>
        <w:spacing w:after="0"/>
        <w:rPr>
          <w:b/>
          <w:bCs/>
          <w:color w:val="0070C0"/>
        </w:rPr>
      </w:pPr>
      <w:r w:rsidRPr="00312E93">
        <w:rPr>
          <w:b/>
          <w:bCs/>
          <w:color w:val="0070C0"/>
        </w:rPr>
        <w:t xml:space="preserve">How are data </w:t>
      </w:r>
      <w:r w:rsidR="00451BB4">
        <w:rPr>
          <w:b/>
          <w:bCs/>
          <w:color w:val="0070C0"/>
        </w:rPr>
        <w:t>designa</w:t>
      </w:r>
      <w:r w:rsidRPr="00312E93">
        <w:rPr>
          <w:b/>
          <w:bCs/>
          <w:color w:val="0070C0"/>
        </w:rPr>
        <w:t>tions (A to D) calculated?</w:t>
      </w:r>
    </w:p>
    <w:p w14:paraId="7CB39491" w14:textId="77777777" w:rsidR="00BB7576" w:rsidRDefault="00BB7576" w:rsidP="00C3130F">
      <w:pPr>
        <w:spacing w:after="0"/>
        <w:rPr>
          <w:b/>
          <w:bCs/>
          <w:color w:val="0070C0"/>
        </w:rPr>
      </w:pPr>
    </w:p>
    <w:p w14:paraId="7CC4EC8A" w14:textId="1A29AB80" w:rsidR="00451BB4" w:rsidRPr="00451BB4" w:rsidRDefault="00451BB4" w:rsidP="00C3130F">
      <w:pPr>
        <w:spacing w:after="0"/>
        <w:rPr>
          <w:color w:val="000000" w:themeColor="text1"/>
        </w:rPr>
      </w:pPr>
      <w:r w:rsidRPr="00451BB4">
        <w:rPr>
          <w:color w:val="000000" w:themeColor="text1"/>
        </w:rPr>
        <w:t>Data designations are based on the accumulation of “flags” in key measures:</w:t>
      </w:r>
    </w:p>
    <w:p w14:paraId="13E40B57" w14:textId="77777777" w:rsidR="00451BB4" w:rsidRDefault="00451BB4" w:rsidP="00C3130F">
      <w:pPr>
        <w:spacing w:after="0"/>
        <w:rPr>
          <w:b/>
          <w:bCs/>
          <w:color w:val="0070C0"/>
        </w:rPr>
      </w:pPr>
    </w:p>
    <w:p w14:paraId="484E645A" w14:textId="7FA0351C" w:rsidR="00451BB4" w:rsidRDefault="00451BB4" w:rsidP="00451BB4">
      <w:pPr>
        <w:spacing w:after="0"/>
      </w:pPr>
      <w:r>
        <w:rPr>
          <w:b/>
          <w:bCs/>
        </w:rPr>
        <w:t>EYFS</w:t>
      </w:r>
      <w:r w:rsidR="001514ED">
        <w:rPr>
          <w:b/>
          <w:bCs/>
        </w:rPr>
        <w:t xml:space="preserve"> (GLD)</w:t>
      </w:r>
      <w:r>
        <w:rPr>
          <w:b/>
          <w:bCs/>
        </w:rPr>
        <w:t xml:space="preserve"> </w:t>
      </w:r>
      <w:r>
        <w:t>is flagged if the gap to national average is greater than 20%</w:t>
      </w:r>
    </w:p>
    <w:p w14:paraId="026C9EED" w14:textId="08B11075" w:rsidR="00451BB4" w:rsidRDefault="00451BB4" w:rsidP="00451BB4">
      <w:pPr>
        <w:spacing w:after="0"/>
      </w:pPr>
      <w:r>
        <w:rPr>
          <w:b/>
          <w:bCs/>
        </w:rPr>
        <w:t>Cumulative Phonics</w:t>
      </w:r>
      <w:r w:rsidR="001514ED">
        <w:rPr>
          <w:b/>
          <w:bCs/>
        </w:rPr>
        <w:t xml:space="preserve"> (</w:t>
      </w:r>
      <w:proofErr w:type="spellStart"/>
      <w:r w:rsidR="001514ED">
        <w:rPr>
          <w:b/>
          <w:bCs/>
        </w:rPr>
        <w:t>Yr</w:t>
      </w:r>
      <w:proofErr w:type="spellEnd"/>
      <w:r w:rsidR="001514ED">
        <w:rPr>
          <w:b/>
          <w:bCs/>
        </w:rPr>
        <w:t xml:space="preserve"> 1)</w:t>
      </w:r>
      <w:r>
        <w:rPr>
          <w:b/>
          <w:bCs/>
        </w:rPr>
        <w:t xml:space="preserve"> </w:t>
      </w:r>
      <w:r>
        <w:t>is flagged if the school is in the bottom quintile nationally.</w:t>
      </w:r>
    </w:p>
    <w:p w14:paraId="1C198F7D" w14:textId="0F567D8D" w:rsidR="00451BB4" w:rsidRDefault="00451BB4" w:rsidP="00451BB4">
      <w:pPr>
        <w:spacing w:after="0"/>
      </w:pPr>
      <w:r>
        <w:rPr>
          <w:b/>
          <w:bCs/>
        </w:rPr>
        <w:t xml:space="preserve">Key Stage 1 </w:t>
      </w:r>
      <w:r w:rsidR="00D31520">
        <w:rPr>
          <w:b/>
          <w:bCs/>
        </w:rPr>
        <w:t xml:space="preserve">RWM Combined </w:t>
      </w:r>
      <w:r>
        <w:t>is flagged if the school is in the bottom quintile nationally.</w:t>
      </w:r>
    </w:p>
    <w:p w14:paraId="1BA27A64" w14:textId="2D87160F" w:rsidR="00451BB4" w:rsidRDefault="00451BB4" w:rsidP="00451BB4">
      <w:pPr>
        <w:spacing w:after="0"/>
      </w:pPr>
      <w:r>
        <w:rPr>
          <w:b/>
          <w:bCs/>
        </w:rPr>
        <w:t xml:space="preserve">Key Stage 2 RWM </w:t>
      </w:r>
      <w:r w:rsidR="004A625A">
        <w:rPr>
          <w:b/>
          <w:bCs/>
        </w:rPr>
        <w:t xml:space="preserve">Combined </w:t>
      </w:r>
      <w:r>
        <w:t>is flagged if the school is in the bottom quintile nationally.</w:t>
      </w:r>
    </w:p>
    <w:p w14:paraId="433E1FDA" w14:textId="77777777" w:rsidR="00451BB4" w:rsidRDefault="00451BB4" w:rsidP="00451BB4">
      <w:pPr>
        <w:spacing w:after="0"/>
      </w:pPr>
      <w:r>
        <w:rPr>
          <w:b/>
          <w:bCs/>
        </w:rPr>
        <w:t>Key Stage 2 Reading</w:t>
      </w:r>
      <w:r>
        <w:t xml:space="preserve"> </w:t>
      </w:r>
      <w:r>
        <w:rPr>
          <w:b/>
          <w:bCs/>
        </w:rPr>
        <w:t>Progress, Writing Progress and Maths Progress</w:t>
      </w:r>
      <w:r>
        <w:t xml:space="preserve"> are each flagged if the progress is significantly negative.</w:t>
      </w:r>
    </w:p>
    <w:p w14:paraId="4158B9A6" w14:textId="77777777" w:rsidR="00451BB4" w:rsidRDefault="00451BB4" w:rsidP="00451BB4">
      <w:pPr>
        <w:spacing w:after="0"/>
      </w:pPr>
    </w:p>
    <w:p w14:paraId="03D6EBC7" w14:textId="77777777" w:rsidR="00451BB4" w:rsidRDefault="00451BB4" w:rsidP="00451BB4">
      <w:pPr>
        <w:spacing w:after="0"/>
      </w:pPr>
      <w:r>
        <w:t>A school has a “</w:t>
      </w:r>
      <w:r w:rsidRPr="003063D6">
        <w:rPr>
          <w:b/>
          <w:bCs/>
        </w:rPr>
        <w:t>trend flag</w:t>
      </w:r>
      <w:r>
        <w:t>” if one of the above areas has been flagged two years in a row.</w:t>
      </w:r>
    </w:p>
    <w:p w14:paraId="671FD5EE" w14:textId="77777777" w:rsidR="00451BB4" w:rsidRDefault="00451BB4" w:rsidP="00451BB4">
      <w:pPr>
        <w:spacing w:after="0"/>
      </w:pPr>
      <w:r>
        <w:t>A school has a “</w:t>
      </w:r>
      <w:r w:rsidRPr="003063D6">
        <w:rPr>
          <w:b/>
          <w:bCs/>
        </w:rPr>
        <w:t>single year flag</w:t>
      </w:r>
      <w:r>
        <w:t>” if EYFS; Key Stage 1 or Phonics; or any of the Key Stage 2 measures have been flagged in the most recent year.</w:t>
      </w:r>
    </w:p>
    <w:p w14:paraId="4B5F04D8" w14:textId="77777777" w:rsidR="00451BB4" w:rsidRDefault="00451BB4" w:rsidP="00451BB4">
      <w:pPr>
        <w:spacing w:after="0"/>
      </w:pPr>
    </w:p>
    <w:p w14:paraId="1749B633" w14:textId="77777777" w:rsidR="00451BB4" w:rsidRDefault="00451BB4" w:rsidP="00451BB4">
      <w:pPr>
        <w:spacing w:after="0"/>
      </w:pPr>
      <w:r>
        <w:rPr>
          <w:b/>
          <w:bCs/>
        </w:rPr>
        <w:t xml:space="preserve">Category A </w:t>
      </w:r>
      <w:r>
        <w:t>schools have three or more trend flags.</w:t>
      </w:r>
    </w:p>
    <w:p w14:paraId="01DF934E" w14:textId="77777777" w:rsidR="00451BB4" w:rsidRDefault="00451BB4" w:rsidP="00451BB4">
      <w:pPr>
        <w:spacing w:after="0"/>
      </w:pPr>
      <w:r>
        <w:rPr>
          <w:b/>
          <w:bCs/>
        </w:rPr>
        <w:t xml:space="preserve">Category B </w:t>
      </w:r>
      <w:r>
        <w:t>schools have one or two trend flags.</w:t>
      </w:r>
    </w:p>
    <w:p w14:paraId="7922C377" w14:textId="77777777" w:rsidR="00451BB4" w:rsidRDefault="00451BB4" w:rsidP="00451BB4">
      <w:pPr>
        <w:spacing w:after="0"/>
      </w:pPr>
      <w:r>
        <w:rPr>
          <w:b/>
          <w:bCs/>
        </w:rPr>
        <w:t xml:space="preserve">Category C </w:t>
      </w:r>
      <w:r>
        <w:t>schools have no trend flags, but two or more single year flags.</w:t>
      </w:r>
    </w:p>
    <w:p w14:paraId="09773ACC" w14:textId="45B1ABE9" w:rsidR="00BB7576" w:rsidRPr="00BB7576" w:rsidRDefault="00451BB4" w:rsidP="00451BB4">
      <w:pPr>
        <w:spacing w:after="0"/>
        <w:rPr>
          <w:color w:val="0070C0"/>
        </w:rPr>
      </w:pPr>
      <w:r>
        <w:rPr>
          <w:b/>
          <w:bCs/>
        </w:rPr>
        <w:t xml:space="preserve">Category D </w:t>
      </w:r>
      <w:r>
        <w:t>schools have no trend flags and at most one single year flag.</w:t>
      </w:r>
    </w:p>
    <w:p w14:paraId="5D873E47" w14:textId="77777777" w:rsidR="00C3130F" w:rsidRDefault="00C3130F" w:rsidP="00C3130F">
      <w:pPr>
        <w:spacing w:after="0"/>
      </w:pPr>
    </w:p>
    <w:p w14:paraId="286D1684" w14:textId="77777777" w:rsidR="00C3130F" w:rsidRDefault="00C3130F" w:rsidP="00C3130F">
      <w:pPr>
        <w:spacing w:after="0"/>
        <w:rPr>
          <w:b/>
          <w:bCs/>
          <w:color w:val="0070C0"/>
        </w:rPr>
      </w:pPr>
    </w:p>
    <w:p w14:paraId="7C058EEE" w14:textId="77777777" w:rsidR="00C3130F" w:rsidRDefault="00C3130F" w:rsidP="00C3130F">
      <w:pPr>
        <w:spacing w:after="0"/>
        <w:rPr>
          <w:b/>
          <w:bCs/>
          <w:color w:val="0070C0"/>
        </w:rPr>
      </w:pPr>
      <w:r>
        <w:rPr>
          <w:b/>
          <w:bCs/>
          <w:color w:val="0070C0"/>
        </w:rPr>
        <w:t>How is a school identified as a Category 1 school – requiring a SIB process?</w:t>
      </w:r>
    </w:p>
    <w:p w14:paraId="7C493D83" w14:textId="77777777" w:rsidR="00C3130F" w:rsidRDefault="00C3130F" w:rsidP="00C3130F">
      <w:pPr>
        <w:spacing w:after="0"/>
        <w:rPr>
          <w:b/>
          <w:bCs/>
          <w:color w:val="0070C0"/>
        </w:rPr>
      </w:pPr>
    </w:p>
    <w:p w14:paraId="20C9D0F0" w14:textId="77777777" w:rsidR="00C3130F" w:rsidRDefault="00C3130F" w:rsidP="00C3130F">
      <w:pPr>
        <w:spacing w:after="0"/>
        <w:rPr>
          <w:color w:val="000000" w:themeColor="text1"/>
        </w:rPr>
      </w:pPr>
      <w:r w:rsidRPr="001468B8">
        <w:rPr>
          <w:color w:val="000000" w:themeColor="text1"/>
        </w:rPr>
        <w:t xml:space="preserve">Only maintained schools can </w:t>
      </w:r>
      <w:r>
        <w:rPr>
          <w:color w:val="000000" w:themeColor="text1"/>
        </w:rPr>
        <w:t>be designated Category 1.</w:t>
      </w:r>
    </w:p>
    <w:p w14:paraId="796154E3" w14:textId="77777777" w:rsidR="00C3130F" w:rsidRDefault="00C3130F" w:rsidP="00C3130F">
      <w:pPr>
        <w:spacing w:after="0"/>
        <w:rPr>
          <w:color w:val="000000" w:themeColor="text1"/>
        </w:rPr>
      </w:pPr>
    </w:p>
    <w:p w14:paraId="2602702B" w14:textId="77777777" w:rsidR="00C3130F" w:rsidRDefault="00C3130F" w:rsidP="00C3130F">
      <w:pPr>
        <w:spacing w:after="0"/>
        <w:rPr>
          <w:color w:val="000000" w:themeColor="text1"/>
        </w:rPr>
      </w:pPr>
      <w:r>
        <w:rPr>
          <w:color w:val="000000" w:themeColor="text1"/>
        </w:rPr>
        <w:t>This happens when either:</w:t>
      </w:r>
    </w:p>
    <w:p w14:paraId="4695E415" w14:textId="77777777" w:rsidR="00C3130F" w:rsidRDefault="00C3130F" w:rsidP="00C3130F">
      <w:pPr>
        <w:spacing w:after="0"/>
        <w:rPr>
          <w:color w:val="000000" w:themeColor="text1"/>
        </w:rPr>
      </w:pPr>
    </w:p>
    <w:p w14:paraId="7F5BD7E3" w14:textId="77777777" w:rsidR="00C3130F" w:rsidRDefault="00C3130F" w:rsidP="00C3130F">
      <w:pPr>
        <w:pStyle w:val="ListParagraph"/>
        <w:numPr>
          <w:ilvl w:val="0"/>
          <w:numId w:val="18"/>
        </w:numPr>
      </w:pPr>
      <w:r w:rsidRPr="002E7F54">
        <w:rPr>
          <w:color w:val="000000" w:themeColor="text1"/>
        </w:rPr>
        <w:lastRenderedPageBreak/>
        <w:t xml:space="preserve">They have an </w:t>
      </w:r>
      <w:r>
        <w:t>Ofsted overall judgement less than good (including a Leadership &amp; Management judgement less than good); or</w:t>
      </w:r>
    </w:p>
    <w:p w14:paraId="01760CA4" w14:textId="77777777" w:rsidR="00C3130F" w:rsidRDefault="00C3130F" w:rsidP="00C3130F">
      <w:pPr>
        <w:pStyle w:val="ListParagraph"/>
        <w:numPr>
          <w:ilvl w:val="0"/>
          <w:numId w:val="18"/>
        </w:numPr>
        <w:spacing w:after="0"/>
      </w:pPr>
      <w:r>
        <w:t xml:space="preserve">There is a significant concern (usually agreed between school and Local Authority) that next Ofsted overall judgement is at significant risk of being less than </w:t>
      </w:r>
      <w:proofErr w:type="gramStart"/>
      <w:r>
        <w:t>good</w:t>
      </w:r>
      <w:proofErr w:type="gramEnd"/>
    </w:p>
    <w:p w14:paraId="28CF95B8" w14:textId="77777777" w:rsidR="00C3130F" w:rsidRDefault="00C3130F" w:rsidP="00C3130F">
      <w:pPr>
        <w:spacing w:after="0"/>
        <w:rPr>
          <w:color w:val="000000" w:themeColor="text1"/>
        </w:rPr>
      </w:pPr>
    </w:p>
    <w:p w14:paraId="3EAF78C8" w14:textId="77777777" w:rsidR="00C3130F" w:rsidRDefault="00C3130F" w:rsidP="00C3130F">
      <w:pPr>
        <w:spacing w:after="0"/>
        <w:rPr>
          <w:color w:val="000000" w:themeColor="text1"/>
        </w:rPr>
      </w:pPr>
    </w:p>
    <w:p w14:paraId="6CB953D4" w14:textId="77777777" w:rsidR="00C3130F" w:rsidRDefault="00C3130F" w:rsidP="00C3130F">
      <w:pPr>
        <w:spacing w:after="0"/>
        <w:rPr>
          <w:b/>
          <w:bCs/>
          <w:color w:val="0070C0"/>
        </w:rPr>
      </w:pPr>
      <w:r>
        <w:rPr>
          <w:b/>
          <w:bCs/>
          <w:color w:val="0070C0"/>
        </w:rPr>
        <w:t>How is a school identified as a Category 2 school – a Focus School Plus?</w:t>
      </w:r>
    </w:p>
    <w:p w14:paraId="1CD1D2F8" w14:textId="77777777" w:rsidR="00C3130F" w:rsidRDefault="00C3130F" w:rsidP="00C3130F">
      <w:pPr>
        <w:spacing w:after="0"/>
        <w:rPr>
          <w:b/>
          <w:bCs/>
          <w:color w:val="0070C0"/>
        </w:rPr>
      </w:pPr>
    </w:p>
    <w:p w14:paraId="38973DC0" w14:textId="77777777" w:rsidR="00C3130F" w:rsidRDefault="00C3130F" w:rsidP="00C3130F">
      <w:pPr>
        <w:spacing w:after="0"/>
        <w:rPr>
          <w:color w:val="000000" w:themeColor="text1"/>
        </w:rPr>
      </w:pPr>
      <w:r w:rsidRPr="001468B8">
        <w:rPr>
          <w:color w:val="000000" w:themeColor="text1"/>
        </w:rPr>
        <w:t xml:space="preserve">Only maintained schools can </w:t>
      </w:r>
      <w:r>
        <w:rPr>
          <w:color w:val="000000" w:themeColor="text1"/>
        </w:rPr>
        <w:t>be designated Category 2.</w:t>
      </w:r>
    </w:p>
    <w:p w14:paraId="1D28B76F" w14:textId="77777777" w:rsidR="00C3130F" w:rsidRDefault="00C3130F" w:rsidP="00C3130F">
      <w:pPr>
        <w:spacing w:after="0"/>
        <w:rPr>
          <w:color w:val="000000" w:themeColor="text1"/>
        </w:rPr>
      </w:pPr>
    </w:p>
    <w:p w14:paraId="3E11D825" w14:textId="77777777" w:rsidR="00C3130F" w:rsidRDefault="00C3130F" w:rsidP="00C3130F">
      <w:pPr>
        <w:spacing w:after="0"/>
        <w:rPr>
          <w:color w:val="000000" w:themeColor="text1"/>
        </w:rPr>
      </w:pPr>
      <w:r>
        <w:rPr>
          <w:color w:val="000000" w:themeColor="text1"/>
        </w:rPr>
        <w:t>This happens when either:</w:t>
      </w:r>
    </w:p>
    <w:p w14:paraId="4D9DCD78" w14:textId="77777777" w:rsidR="00C3130F" w:rsidRDefault="00C3130F" w:rsidP="00C3130F">
      <w:pPr>
        <w:spacing w:after="0"/>
        <w:rPr>
          <w:color w:val="000000" w:themeColor="text1"/>
        </w:rPr>
      </w:pPr>
    </w:p>
    <w:p w14:paraId="39E0601E" w14:textId="77777777" w:rsidR="00C3130F" w:rsidRPr="001E3889" w:rsidRDefault="00C3130F" w:rsidP="00C3130F">
      <w:pPr>
        <w:pStyle w:val="ListParagraph"/>
        <w:numPr>
          <w:ilvl w:val="0"/>
          <w:numId w:val="19"/>
        </w:numPr>
        <w:spacing w:after="0"/>
      </w:pPr>
      <w:r>
        <w:t>They were previously a Category 1 school but now have a proven improvement trajectory (through SIB) that will still benefit from Local Authority oversight until next inspection; or</w:t>
      </w:r>
    </w:p>
    <w:p w14:paraId="6FD42B79" w14:textId="77777777" w:rsidR="00C3130F" w:rsidRPr="00436B28" w:rsidRDefault="00C3130F" w:rsidP="00C3130F">
      <w:pPr>
        <w:pStyle w:val="ListParagraph"/>
        <w:numPr>
          <w:ilvl w:val="0"/>
          <w:numId w:val="19"/>
        </w:numPr>
        <w:spacing w:after="0"/>
        <w:rPr>
          <w:color w:val="000000" w:themeColor="text1"/>
        </w:rPr>
      </w:pPr>
      <w:r>
        <w:t xml:space="preserve">They have an Ofsted overall judgement less than good but with capacity to improve evidenced by a Leadership &amp; Management judgement of </w:t>
      </w:r>
      <w:proofErr w:type="gramStart"/>
      <w:r>
        <w:t>good</w:t>
      </w:r>
      <w:proofErr w:type="gramEnd"/>
    </w:p>
    <w:p w14:paraId="3994B339" w14:textId="77777777" w:rsidR="00C3130F" w:rsidRPr="001E3889" w:rsidRDefault="00C3130F" w:rsidP="00C3130F">
      <w:pPr>
        <w:pStyle w:val="ListParagraph"/>
        <w:numPr>
          <w:ilvl w:val="0"/>
          <w:numId w:val="19"/>
        </w:numPr>
        <w:spacing w:after="0"/>
        <w:rPr>
          <w:color w:val="000000" w:themeColor="text1"/>
        </w:rPr>
      </w:pPr>
      <w:r>
        <w:t>There is a specific and significant vulnerability that puts the overall effectiveness of the school at risk (</w:t>
      </w:r>
      <w:proofErr w:type="gramStart"/>
      <w:r>
        <w:t>e.g.</w:t>
      </w:r>
      <w:proofErr w:type="gramEnd"/>
      <w:r>
        <w:t xml:space="preserve"> significant financial vulnerability)</w:t>
      </w:r>
    </w:p>
    <w:p w14:paraId="18AC6BB3" w14:textId="77777777" w:rsidR="00C3130F" w:rsidRDefault="00C3130F" w:rsidP="00C3130F">
      <w:pPr>
        <w:spacing w:after="0"/>
        <w:rPr>
          <w:color w:val="000000" w:themeColor="text1"/>
        </w:rPr>
      </w:pPr>
    </w:p>
    <w:p w14:paraId="29AC6B46" w14:textId="77777777" w:rsidR="00C3130F" w:rsidRDefault="00C3130F" w:rsidP="00C3130F">
      <w:pPr>
        <w:spacing w:after="0"/>
        <w:rPr>
          <w:b/>
          <w:bCs/>
          <w:color w:val="0070C0"/>
        </w:rPr>
      </w:pPr>
    </w:p>
    <w:p w14:paraId="569C2D93" w14:textId="77777777" w:rsidR="00C3130F" w:rsidRDefault="00C3130F" w:rsidP="00C3130F">
      <w:pPr>
        <w:spacing w:after="0"/>
        <w:rPr>
          <w:b/>
          <w:bCs/>
          <w:color w:val="0070C0"/>
        </w:rPr>
      </w:pPr>
      <w:r>
        <w:rPr>
          <w:b/>
          <w:bCs/>
          <w:color w:val="0070C0"/>
        </w:rPr>
        <w:t>How is a school identified as a Category 3 school – a Focus School?</w:t>
      </w:r>
    </w:p>
    <w:p w14:paraId="408D55BE" w14:textId="77777777" w:rsidR="00C3130F" w:rsidRDefault="00C3130F" w:rsidP="00C3130F">
      <w:pPr>
        <w:spacing w:after="0"/>
        <w:rPr>
          <w:color w:val="000000" w:themeColor="text1"/>
        </w:rPr>
      </w:pPr>
    </w:p>
    <w:p w14:paraId="091F1EBD" w14:textId="77777777" w:rsidR="00C3130F" w:rsidRPr="00D32ADB" w:rsidRDefault="00C3130F" w:rsidP="00C3130F">
      <w:pPr>
        <w:spacing w:after="0"/>
        <w:rPr>
          <w:color w:val="000000" w:themeColor="text1"/>
        </w:rPr>
      </w:pPr>
      <w:r w:rsidRPr="00D32ADB">
        <w:rPr>
          <w:color w:val="000000" w:themeColor="text1"/>
        </w:rPr>
        <w:t xml:space="preserve">All schools, whether maintained or otherwise, can be designated as a Focus school.  </w:t>
      </w:r>
      <w:r>
        <w:rPr>
          <w:color w:val="000000" w:themeColor="text1"/>
        </w:rPr>
        <w:t>This c</w:t>
      </w:r>
      <w:r w:rsidRPr="00D32ADB">
        <w:rPr>
          <w:color w:val="000000" w:themeColor="text1"/>
        </w:rPr>
        <w:t>ategorisation is based on the following criteria:</w:t>
      </w:r>
    </w:p>
    <w:p w14:paraId="09EADB6E" w14:textId="77777777" w:rsidR="00C3130F" w:rsidRPr="00D32ADB" w:rsidRDefault="00C3130F" w:rsidP="00C3130F">
      <w:pPr>
        <w:spacing w:after="0"/>
        <w:rPr>
          <w:color w:val="000000" w:themeColor="text1"/>
        </w:rPr>
      </w:pPr>
    </w:p>
    <w:tbl>
      <w:tblPr>
        <w:tblStyle w:val="TableGrid"/>
        <w:tblW w:w="0" w:type="auto"/>
        <w:tblLook w:val="04A0" w:firstRow="1" w:lastRow="0" w:firstColumn="1" w:lastColumn="0" w:noHBand="0" w:noVBand="1"/>
      </w:tblPr>
      <w:tblGrid>
        <w:gridCol w:w="2405"/>
        <w:gridCol w:w="7223"/>
      </w:tblGrid>
      <w:tr w:rsidR="00C3130F" w14:paraId="759E5310" w14:textId="77777777" w:rsidTr="00C80367">
        <w:tc>
          <w:tcPr>
            <w:tcW w:w="2405" w:type="dxa"/>
          </w:tcPr>
          <w:p w14:paraId="11F0C93B" w14:textId="77777777" w:rsidR="00C3130F" w:rsidRDefault="00C3130F" w:rsidP="00C80367">
            <w:pPr>
              <w:rPr>
                <w:color w:val="000000" w:themeColor="text1"/>
              </w:rPr>
            </w:pPr>
            <w:r>
              <w:rPr>
                <w:color w:val="000000" w:themeColor="text1"/>
              </w:rPr>
              <w:t>Overall effectiveness (non-maintained)</w:t>
            </w:r>
          </w:p>
        </w:tc>
        <w:tc>
          <w:tcPr>
            <w:tcW w:w="7223" w:type="dxa"/>
          </w:tcPr>
          <w:p w14:paraId="5D648DBC" w14:textId="77777777" w:rsidR="00C3130F" w:rsidRDefault="00C3130F" w:rsidP="00C80367">
            <w:pPr>
              <w:rPr>
                <w:color w:val="000000" w:themeColor="text1"/>
              </w:rPr>
            </w:pPr>
            <w:r>
              <w:rPr>
                <w:color w:val="000000" w:themeColor="text1"/>
              </w:rPr>
              <w:t>An overall Ofsted judgement of less than Good.</w:t>
            </w:r>
          </w:p>
        </w:tc>
      </w:tr>
      <w:tr w:rsidR="00C3130F" w14:paraId="72ECB76C" w14:textId="77777777" w:rsidTr="00C80367">
        <w:tc>
          <w:tcPr>
            <w:tcW w:w="2405" w:type="dxa"/>
          </w:tcPr>
          <w:p w14:paraId="55E590FC" w14:textId="77777777" w:rsidR="00C3130F" w:rsidRDefault="00C3130F" w:rsidP="00C80367">
            <w:pPr>
              <w:rPr>
                <w:color w:val="000000" w:themeColor="text1"/>
              </w:rPr>
            </w:pPr>
            <w:r>
              <w:rPr>
                <w:color w:val="000000" w:themeColor="text1"/>
              </w:rPr>
              <w:t>Overall effectiveness</w:t>
            </w:r>
          </w:p>
          <w:p w14:paraId="62F7FD45" w14:textId="77777777" w:rsidR="00C3130F" w:rsidRDefault="00C3130F" w:rsidP="00C80367">
            <w:pPr>
              <w:rPr>
                <w:color w:val="000000" w:themeColor="text1"/>
              </w:rPr>
            </w:pPr>
            <w:r>
              <w:rPr>
                <w:color w:val="000000" w:themeColor="text1"/>
              </w:rPr>
              <w:t>(maintained)</w:t>
            </w:r>
          </w:p>
        </w:tc>
        <w:tc>
          <w:tcPr>
            <w:tcW w:w="7223" w:type="dxa"/>
          </w:tcPr>
          <w:p w14:paraId="5EBC2538" w14:textId="77777777" w:rsidR="00C3130F" w:rsidRPr="00436B28" w:rsidRDefault="00C3130F" w:rsidP="00C80367">
            <w:proofErr w:type="gramStart"/>
            <w:r>
              <w:t>Particular Ofsted</w:t>
            </w:r>
            <w:proofErr w:type="gramEnd"/>
            <w:r>
              <w:t xml:space="preserve"> area judgement identified as being at risk of being less than good but where specific actions from the network can support necessary improvement.</w:t>
            </w:r>
          </w:p>
        </w:tc>
      </w:tr>
      <w:tr w:rsidR="00C3130F" w14:paraId="0030D5E7" w14:textId="77777777" w:rsidTr="00C80367">
        <w:tc>
          <w:tcPr>
            <w:tcW w:w="2405" w:type="dxa"/>
          </w:tcPr>
          <w:p w14:paraId="7E45A184" w14:textId="77777777" w:rsidR="00C3130F" w:rsidRDefault="00C3130F" w:rsidP="00C80367">
            <w:pPr>
              <w:rPr>
                <w:color w:val="000000" w:themeColor="text1"/>
              </w:rPr>
            </w:pPr>
            <w:r>
              <w:rPr>
                <w:color w:val="000000" w:themeColor="text1"/>
              </w:rPr>
              <w:t>Capacity of Leadership</w:t>
            </w:r>
          </w:p>
        </w:tc>
        <w:tc>
          <w:tcPr>
            <w:tcW w:w="7223" w:type="dxa"/>
          </w:tcPr>
          <w:p w14:paraId="50524BC0" w14:textId="77777777" w:rsidR="00C3130F" w:rsidRDefault="00C3130F" w:rsidP="00C80367">
            <w:pPr>
              <w:rPr>
                <w:color w:val="000000" w:themeColor="text1"/>
              </w:rPr>
            </w:pPr>
            <w:r>
              <w:t>Change in headteacher or other significant change in senior leadership within a school</w:t>
            </w:r>
          </w:p>
        </w:tc>
      </w:tr>
    </w:tbl>
    <w:p w14:paraId="6C8AA787" w14:textId="77777777" w:rsidR="00C3130F" w:rsidRPr="00D32ADB" w:rsidRDefault="00C3130F" w:rsidP="00C3130F">
      <w:pPr>
        <w:spacing w:after="0"/>
        <w:rPr>
          <w:color w:val="000000" w:themeColor="text1"/>
        </w:rPr>
      </w:pPr>
    </w:p>
    <w:p w14:paraId="1E49D11F" w14:textId="77777777" w:rsidR="00C3130F" w:rsidRDefault="00C3130F" w:rsidP="00C3130F">
      <w:pPr>
        <w:spacing w:after="0"/>
      </w:pPr>
      <w:r>
        <w:rPr>
          <w:color w:val="000000" w:themeColor="text1"/>
        </w:rPr>
        <w:t>Note – if a maintained school is at potential risk of overall effectiveness being less than good, a professional conversation will take place between school leaders (including governors) and the Local Authority to agree whether a designation of Category 1 or Category 3 would provide the most appropriate level of support.</w:t>
      </w:r>
    </w:p>
    <w:p w14:paraId="10E8437E" w14:textId="77777777" w:rsidR="00C3130F" w:rsidRDefault="00C3130F" w:rsidP="00C3130F">
      <w:pPr>
        <w:spacing w:after="0"/>
        <w:rPr>
          <w:b/>
          <w:bCs/>
          <w:color w:val="0070C0"/>
        </w:rPr>
      </w:pPr>
    </w:p>
    <w:p w14:paraId="3971F936" w14:textId="77777777" w:rsidR="00C3130F" w:rsidRDefault="00C3130F" w:rsidP="00C3130F">
      <w:pPr>
        <w:spacing w:after="0"/>
        <w:rPr>
          <w:b/>
          <w:bCs/>
          <w:color w:val="0070C0"/>
        </w:rPr>
      </w:pPr>
    </w:p>
    <w:p w14:paraId="64726E8C" w14:textId="77777777" w:rsidR="00C3130F" w:rsidRPr="001817D5" w:rsidRDefault="00C3130F" w:rsidP="00C3130F">
      <w:pPr>
        <w:spacing w:after="0"/>
        <w:rPr>
          <w:b/>
          <w:bCs/>
          <w:color w:val="0070C0"/>
        </w:rPr>
      </w:pPr>
      <w:r w:rsidRPr="001817D5">
        <w:rPr>
          <w:b/>
          <w:bCs/>
          <w:color w:val="0070C0"/>
        </w:rPr>
        <w:t xml:space="preserve">What support is offered to Category </w:t>
      </w:r>
      <w:r>
        <w:rPr>
          <w:b/>
          <w:bCs/>
          <w:color w:val="0070C0"/>
        </w:rPr>
        <w:t xml:space="preserve">1, 2 and 3 </w:t>
      </w:r>
      <w:r w:rsidRPr="001817D5">
        <w:rPr>
          <w:b/>
          <w:bCs/>
          <w:color w:val="0070C0"/>
        </w:rPr>
        <w:t>schools?</w:t>
      </w:r>
    </w:p>
    <w:p w14:paraId="1507DA36" w14:textId="77777777" w:rsidR="00C3130F" w:rsidRDefault="00C3130F" w:rsidP="00C3130F">
      <w:pPr>
        <w:spacing w:after="0"/>
        <w:rPr>
          <w:color w:val="0070C0"/>
        </w:rPr>
      </w:pPr>
    </w:p>
    <w:tbl>
      <w:tblPr>
        <w:tblStyle w:val="TableGrid"/>
        <w:tblW w:w="0" w:type="auto"/>
        <w:tblLook w:val="04A0" w:firstRow="1" w:lastRow="0" w:firstColumn="1" w:lastColumn="0" w:noHBand="0" w:noVBand="1"/>
      </w:tblPr>
      <w:tblGrid>
        <w:gridCol w:w="1413"/>
        <w:gridCol w:w="8215"/>
      </w:tblGrid>
      <w:tr w:rsidR="00C3130F" w14:paraId="75EDE311" w14:textId="77777777" w:rsidTr="00C80367">
        <w:tc>
          <w:tcPr>
            <w:tcW w:w="1413" w:type="dxa"/>
          </w:tcPr>
          <w:p w14:paraId="694B0BED" w14:textId="77777777" w:rsidR="00C3130F" w:rsidRPr="009C579E" w:rsidRDefault="00C3130F" w:rsidP="00C80367">
            <w:pPr>
              <w:rPr>
                <w:color w:val="000000" w:themeColor="text1"/>
              </w:rPr>
            </w:pPr>
            <w:r w:rsidRPr="009C579E">
              <w:rPr>
                <w:color w:val="000000" w:themeColor="text1"/>
              </w:rPr>
              <w:t>Category 1</w:t>
            </w:r>
          </w:p>
        </w:tc>
        <w:tc>
          <w:tcPr>
            <w:tcW w:w="8215" w:type="dxa"/>
          </w:tcPr>
          <w:p w14:paraId="7F1579C8" w14:textId="77777777" w:rsidR="00C3130F" w:rsidRPr="009C579E" w:rsidRDefault="00C3130F" w:rsidP="00C80367">
            <w:pPr>
              <w:rPr>
                <w:color w:val="000000" w:themeColor="text1"/>
              </w:rPr>
            </w:pPr>
            <w:r w:rsidRPr="009C579E">
              <w:rPr>
                <w:color w:val="000000" w:themeColor="text1"/>
              </w:rPr>
              <w:t>Schools enter (or continue within) the SIB process (School Improvement Board)</w:t>
            </w:r>
          </w:p>
        </w:tc>
      </w:tr>
      <w:tr w:rsidR="00C3130F" w14:paraId="7556ED75" w14:textId="77777777" w:rsidTr="00C80367">
        <w:tc>
          <w:tcPr>
            <w:tcW w:w="1413" w:type="dxa"/>
          </w:tcPr>
          <w:p w14:paraId="422CF54B" w14:textId="77777777" w:rsidR="00C3130F" w:rsidRPr="009C579E" w:rsidRDefault="00C3130F" w:rsidP="00C80367">
            <w:pPr>
              <w:rPr>
                <w:color w:val="000000" w:themeColor="text1"/>
              </w:rPr>
            </w:pPr>
            <w:r w:rsidRPr="009C579E">
              <w:rPr>
                <w:color w:val="000000" w:themeColor="text1"/>
              </w:rPr>
              <w:t>Category 2</w:t>
            </w:r>
          </w:p>
        </w:tc>
        <w:tc>
          <w:tcPr>
            <w:tcW w:w="8215" w:type="dxa"/>
          </w:tcPr>
          <w:p w14:paraId="51CB0A4C" w14:textId="77777777" w:rsidR="00C3130F" w:rsidRPr="009C579E" w:rsidRDefault="00C3130F" w:rsidP="00C80367">
            <w:pPr>
              <w:rPr>
                <w:color w:val="000000" w:themeColor="text1"/>
              </w:rPr>
            </w:pPr>
            <w:r w:rsidRPr="009C579E">
              <w:rPr>
                <w:color w:val="000000" w:themeColor="text1"/>
              </w:rPr>
              <w:t>Schools enter (or continue within) the PCI process (Progress Check-In)</w:t>
            </w:r>
          </w:p>
        </w:tc>
      </w:tr>
      <w:tr w:rsidR="00C3130F" w14:paraId="77FBE6A2" w14:textId="77777777" w:rsidTr="00C80367">
        <w:tc>
          <w:tcPr>
            <w:tcW w:w="1413" w:type="dxa"/>
          </w:tcPr>
          <w:p w14:paraId="22E09844" w14:textId="77777777" w:rsidR="00C3130F" w:rsidRPr="009C579E" w:rsidRDefault="00C3130F" w:rsidP="00C80367">
            <w:pPr>
              <w:rPr>
                <w:color w:val="000000" w:themeColor="text1"/>
              </w:rPr>
            </w:pPr>
            <w:r w:rsidRPr="009C579E">
              <w:rPr>
                <w:color w:val="000000" w:themeColor="text1"/>
              </w:rPr>
              <w:t>Category 3</w:t>
            </w:r>
          </w:p>
        </w:tc>
        <w:tc>
          <w:tcPr>
            <w:tcW w:w="8215" w:type="dxa"/>
          </w:tcPr>
          <w:p w14:paraId="1D3E3ECC" w14:textId="77777777" w:rsidR="00C3130F" w:rsidRPr="009C579E" w:rsidRDefault="00C3130F" w:rsidP="00C80367">
            <w:pPr>
              <w:rPr>
                <w:color w:val="000000" w:themeColor="text1"/>
              </w:rPr>
            </w:pPr>
            <w:r w:rsidRPr="009C579E">
              <w:rPr>
                <w:color w:val="000000" w:themeColor="text1"/>
              </w:rPr>
              <w:t xml:space="preserve">Schools are supported by a focussed plan, supported by their </w:t>
            </w:r>
            <w:proofErr w:type="gramStart"/>
            <w:r w:rsidRPr="009C579E">
              <w:rPr>
                <w:color w:val="000000" w:themeColor="text1"/>
              </w:rPr>
              <w:t>network</w:t>
            </w:r>
            <w:proofErr w:type="gramEnd"/>
            <w:r w:rsidRPr="009C579E">
              <w:rPr>
                <w:color w:val="000000" w:themeColor="text1"/>
              </w:rPr>
              <w:t xml:space="preserve"> and co-constructed by the network lead</w:t>
            </w:r>
          </w:p>
        </w:tc>
      </w:tr>
    </w:tbl>
    <w:p w14:paraId="15CBBC7B" w14:textId="77777777" w:rsidR="00C3130F" w:rsidRDefault="00C3130F" w:rsidP="00C3130F">
      <w:pPr>
        <w:spacing w:after="0"/>
        <w:rPr>
          <w:color w:val="0070C0"/>
        </w:rPr>
      </w:pPr>
    </w:p>
    <w:p w14:paraId="440A7640" w14:textId="77777777" w:rsidR="00C3130F" w:rsidRDefault="00C3130F" w:rsidP="00C3130F">
      <w:pPr>
        <w:spacing w:after="0"/>
        <w:rPr>
          <w:color w:val="0070C0"/>
        </w:rPr>
      </w:pPr>
    </w:p>
    <w:p w14:paraId="60675E99" w14:textId="77777777" w:rsidR="00C3130F" w:rsidRPr="00EA3B69" w:rsidRDefault="00C3130F" w:rsidP="00C3130F">
      <w:pPr>
        <w:spacing w:after="0"/>
        <w:rPr>
          <w:b/>
          <w:bCs/>
          <w:color w:val="0070C0"/>
        </w:rPr>
      </w:pPr>
      <w:r w:rsidRPr="00EA3B69">
        <w:rPr>
          <w:b/>
          <w:bCs/>
          <w:color w:val="0070C0"/>
        </w:rPr>
        <w:t xml:space="preserve">What does support for </w:t>
      </w:r>
      <w:r>
        <w:rPr>
          <w:b/>
          <w:bCs/>
          <w:color w:val="0070C0"/>
        </w:rPr>
        <w:t>Category 3 (</w:t>
      </w:r>
      <w:r w:rsidRPr="00EA3B69">
        <w:rPr>
          <w:b/>
          <w:bCs/>
          <w:color w:val="0070C0"/>
        </w:rPr>
        <w:t>Focus Schools</w:t>
      </w:r>
      <w:r>
        <w:rPr>
          <w:b/>
          <w:bCs/>
          <w:color w:val="0070C0"/>
        </w:rPr>
        <w:t>)</w:t>
      </w:r>
      <w:r w:rsidRPr="00EA3B69">
        <w:rPr>
          <w:b/>
          <w:bCs/>
          <w:color w:val="0070C0"/>
        </w:rPr>
        <w:t xml:space="preserve"> look like?</w:t>
      </w:r>
    </w:p>
    <w:p w14:paraId="78A4FC41" w14:textId="77777777" w:rsidR="00C3130F" w:rsidRDefault="00C3130F" w:rsidP="00C3130F">
      <w:pPr>
        <w:spacing w:after="0"/>
        <w:rPr>
          <w:color w:val="0070C0"/>
        </w:rPr>
      </w:pPr>
    </w:p>
    <w:p w14:paraId="6C6E404C" w14:textId="77777777" w:rsidR="00C3130F" w:rsidRPr="00D83BC2" w:rsidRDefault="00C3130F" w:rsidP="00C3130F">
      <w:pPr>
        <w:spacing w:after="0"/>
      </w:pPr>
      <w:r w:rsidRPr="00D83BC2">
        <w:t>Where a focus school has been identified for support through self-evaluation, support need</w:t>
      </w:r>
      <w:r>
        <w:t>s</w:t>
      </w:r>
      <w:r w:rsidRPr="00D83BC2">
        <w:t xml:space="preserve"> to be tailored to the specific element of improvement required.  This could involve, for example, using network funding to </w:t>
      </w:r>
      <w:r w:rsidRPr="00D83BC2">
        <w:lastRenderedPageBreak/>
        <w:t>facilitate additional expertise to support school improvement priorities.  This might come from within the network, from another Coventry network or from an external partner.</w:t>
      </w:r>
    </w:p>
    <w:p w14:paraId="5CA59905" w14:textId="77777777" w:rsidR="00C3130F" w:rsidRPr="00D83BC2" w:rsidRDefault="00C3130F" w:rsidP="00C3130F">
      <w:pPr>
        <w:spacing w:after="0"/>
      </w:pPr>
    </w:p>
    <w:p w14:paraId="57EC46EE" w14:textId="77777777" w:rsidR="00C3130F" w:rsidRPr="00D83BC2" w:rsidRDefault="00C3130F" w:rsidP="00C3130F">
      <w:pPr>
        <w:spacing w:after="0"/>
      </w:pPr>
      <w:r w:rsidRPr="00D83BC2">
        <w:t>Where a focus school has been identified due to leadership capacity, the support will depend on the nature of this.  All new heads should be supported with an appropriate mentor.  This should be an appropriately experienced head from within the network (or external to the network if a suitable person isn’t available).  This mentor’s time should be funded.  Other key leaders (Deputy Head or equivalent) should also be supported with an appropriate mentor.</w:t>
      </w:r>
    </w:p>
    <w:p w14:paraId="1E6A0ACE" w14:textId="77777777" w:rsidR="00C3130F" w:rsidRPr="00D83BC2" w:rsidRDefault="00C3130F" w:rsidP="00C3130F">
      <w:pPr>
        <w:spacing w:after="0"/>
      </w:pPr>
    </w:p>
    <w:p w14:paraId="652D3B5A" w14:textId="77777777" w:rsidR="00C3130F" w:rsidRPr="00D83BC2" w:rsidRDefault="00C3130F" w:rsidP="00C3130F">
      <w:pPr>
        <w:spacing w:after="0"/>
      </w:pPr>
      <w:r w:rsidRPr="00D83BC2">
        <w:t>If a school has more general leadership capacity issues for a fixed period (</w:t>
      </w:r>
      <w:proofErr w:type="gramStart"/>
      <w:r w:rsidRPr="00D83BC2">
        <w:t>e.g.</w:t>
      </w:r>
      <w:proofErr w:type="gramEnd"/>
      <w:r w:rsidRPr="00D83BC2">
        <w:t xml:space="preserve"> staff absence or periods in between substantive postholders being in place), the Senior School Advisor will take a lead on brokering appropriate support.  However, this is likely to be done in liaison with the network lead in the first instance.</w:t>
      </w:r>
    </w:p>
    <w:p w14:paraId="134AE695" w14:textId="77777777" w:rsidR="00C3130F" w:rsidRDefault="00C3130F" w:rsidP="00C3130F">
      <w:pPr>
        <w:spacing w:after="0"/>
        <w:rPr>
          <w:b/>
          <w:bCs/>
          <w:color w:val="0070C0"/>
        </w:rPr>
      </w:pPr>
    </w:p>
    <w:p w14:paraId="3B7C9169" w14:textId="77777777" w:rsidR="00C3130F" w:rsidRDefault="00C3130F" w:rsidP="00C3130F">
      <w:pPr>
        <w:spacing w:after="0"/>
        <w:rPr>
          <w:b/>
          <w:bCs/>
          <w:color w:val="0070C0"/>
        </w:rPr>
      </w:pPr>
    </w:p>
    <w:p w14:paraId="34E33439" w14:textId="77777777" w:rsidR="00C3130F" w:rsidRDefault="00C3130F" w:rsidP="00C3130F">
      <w:pPr>
        <w:spacing w:after="0"/>
        <w:rPr>
          <w:b/>
          <w:bCs/>
          <w:color w:val="0070C0"/>
        </w:rPr>
      </w:pPr>
      <w:r>
        <w:rPr>
          <w:b/>
          <w:bCs/>
          <w:color w:val="0070C0"/>
        </w:rPr>
        <w:t>Is categorisation fixed?  Can it change during an academic year?</w:t>
      </w:r>
    </w:p>
    <w:p w14:paraId="0B5748B3" w14:textId="77777777" w:rsidR="00C3130F" w:rsidRDefault="00C3130F" w:rsidP="00C3130F">
      <w:pPr>
        <w:spacing w:after="0"/>
        <w:rPr>
          <w:b/>
          <w:bCs/>
          <w:color w:val="0070C0"/>
        </w:rPr>
      </w:pPr>
    </w:p>
    <w:p w14:paraId="2E8CB446" w14:textId="77777777" w:rsidR="00C3130F" w:rsidRPr="004C3A72" w:rsidRDefault="00C3130F" w:rsidP="00C3130F">
      <w:pPr>
        <w:spacing w:after="0"/>
        <w:rPr>
          <w:color w:val="000000" w:themeColor="text1"/>
        </w:rPr>
      </w:pPr>
      <w:r w:rsidRPr="004C3A72">
        <w:rPr>
          <w:color w:val="000000" w:themeColor="text1"/>
        </w:rPr>
        <w:t>The categorisation process take</w:t>
      </w:r>
      <w:r>
        <w:rPr>
          <w:color w:val="000000" w:themeColor="text1"/>
        </w:rPr>
        <w:t>s</w:t>
      </w:r>
      <w:r w:rsidRPr="004C3A72">
        <w:rPr>
          <w:color w:val="000000" w:themeColor="text1"/>
        </w:rPr>
        <w:t xml:space="preserve"> </w:t>
      </w:r>
      <w:proofErr w:type="gramStart"/>
      <w:r w:rsidRPr="004C3A72">
        <w:rPr>
          <w:color w:val="000000" w:themeColor="text1"/>
        </w:rPr>
        <w:t>place</w:t>
      </w:r>
      <w:proofErr w:type="gramEnd"/>
      <w:r>
        <w:rPr>
          <w:color w:val="000000" w:themeColor="text1"/>
        </w:rPr>
        <w:t xml:space="preserve"> for all schools at</w:t>
      </w:r>
      <w:r w:rsidRPr="004C3A72">
        <w:rPr>
          <w:color w:val="000000" w:themeColor="text1"/>
        </w:rPr>
        <w:t xml:space="preserve"> the beginning of each new school year.  However, </w:t>
      </w:r>
      <w:r>
        <w:rPr>
          <w:color w:val="000000" w:themeColor="text1"/>
        </w:rPr>
        <w:t>categorisation can change at other points during the year, as required.  This could be in response to an Ofsted inspection, discussion at a CMO visit or changes in leadership.  Alternatively, any school can proactively seek additional support at any stage via their network lead, CMO or the Senior Advisor.</w:t>
      </w:r>
    </w:p>
    <w:p w14:paraId="66ECB293" w14:textId="77777777" w:rsidR="00C3130F" w:rsidRDefault="00C3130F" w:rsidP="00C3130F">
      <w:pPr>
        <w:spacing w:after="0"/>
        <w:rPr>
          <w:b/>
          <w:bCs/>
          <w:color w:val="0070C0"/>
        </w:rPr>
      </w:pPr>
    </w:p>
    <w:p w14:paraId="218BA6BE" w14:textId="77777777" w:rsidR="00C3130F" w:rsidRDefault="00C3130F" w:rsidP="00C3130F">
      <w:pPr>
        <w:spacing w:after="0"/>
        <w:rPr>
          <w:b/>
          <w:bCs/>
          <w:color w:val="0070C0"/>
        </w:rPr>
      </w:pPr>
      <w:r>
        <w:rPr>
          <w:b/>
          <w:bCs/>
          <w:color w:val="0070C0"/>
        </w:rPr>
        <w:t>What impact does achievement data have in categorisation?</w:t>
      </w:r>
    </w:p>
    <w:p w14:paraId="05888BBD" w14:textId="77777777" w:rsidR="00C3130F" w:rsidRDefault="00C3130F" w:rsidP="00C3130F">
      <w:pPr>
        <w:spacing w:after="0"/>
        <w:rPr>
          <w:b/>
          <w:bCs/>
          <w:color w:val="0070C0"/>
        </w:rPr>
      </w:pPr>
    </w:p>
    <w:p w14:paraId="6265746D" w14:textId="77777777" w:rsidR="00C3130F" w:rsidRPr="007558F2" w:rsidRDefault="00C3130F" w:rsidP="00C3130F">
      <w:pPr>
        <w:spacing w:after="0"/>
        <w:rPr>
          <w:color w:val="000000" w:themeColor="text1"/>
        </w:rPr>
      </w:pPr>
      <w:r w:rsidRPr="007558F2">
        <w:rPr>
          <w:color w:val="000000" w:themeColor="text1"/>
        </w:rPr>
        <w:t>The designation of the A to D regarding achievement data impacts in two potential ways:</w:t>
      </w:r>
    </w:p>
    <w:p w14:paraId="69305E39" w14:textId="77777777" w:rsidR="00C3130F" w:rsidRDefault="00C3130F" w:rsidP="00C3130F">
      <w:pPr>
        <w:pStyle w:val="ListParagraph"/>
        <w:numPr>
          <w:ilvl w:val="0"/>
          <w:numId w:val="20"/>
        </w:numPr>
        <w:spacing w:after="0"/>
        <w:rPr>
          <w:color w:val="000000" w:themeColor="text1"/>
        </w:rPr>
      </w:pPr>
      <w:r>
        <w:rPr>
          <w:color w:val="000000" w:themeColor="text1"/>
        </w:rPr>
        <w:t xml:space="preserve">Significant challenges could indicate risk in terms of overall effectiveness of the school.  Where a school has an achievement data categorisation of A or B, this will need to be considered.  However, there is no automatic impact from achievement data on overall categorisation – this will always be considered qualitatively taking the context of the school into </w:t>
      </w:r>
      <w:proofErr w:type="gramStart"/>
      <w:r>
        <w:rPr>
          <w:color w:val="000000" w:themeColor="text1"/>
        </w:rPr>
        <w:t>account</w:t>
      </w:r>
      <w:proofErr w:type="gramEnd"/>
    </w:p>
    <w:p w14:paraId="7F9BAEBC" w14:textId="77777777" w:rsidR="00C3130F" w:rsidRPr="007558F2" w:rsidRDefault="00C3130F" w:rsidP="00C3130F">
      <w:pPr>
        <w:pStyle w:val="ListParagraph"/>
        <w:numPr>
          <w:ilvl w:val="0"/>
          <w:numId w:val="20"/>
        </w:numPr>
        <w:spacing w:after="0"/>
        <w:rPr>
          <w:color w:val="000000" w:themeColor="text1"/>
        </w:rPr>
      </w:pPr>
      <w:r>
        <w:rPr>
          <w:color w:val="000000" w:themeColor="text1"/>
        </w:rPr>
        <w:t>The A to D data designation will have an impact on network funding allocation (see below)</w:t>
      </w:r>
    </w:p>
    <w:p w14:paraId="128B5012" w14:textId="77777777" w:rsidR="00C3130F" w:rsidRDefault="00C3130F" w:rsidP="00C3130F">
      <w:pPr>
        <w:spacing w:after="0"/>
        <w:rPr>
          <w:b/>
          <w:bCs/>
          <w:color w:val="0070C0"/>
        </w:rPr>
      </w:pPr>
    </w:p>
    <w:p w14:paraId="058B7A11" w14:textId="77777777" w:rsidR="00C3130F" w:rsidRDefault="00C3130F" w:rsidP="00C3130F">
      <w:pPr>
        <w:spacing w:after="0"/>
        <w:rPr>
          <w:b/>
          <w:bCs/>
          <w:color w:val="0070C0"/>
        </w:rPr>
      </w:pPr>
    </w:p>
    <w:p w14:paraId="52D68224" w14:textId="77777777" w:rsidR="00C3130F" w:rsidRDefault="00C3130F" w:rsidP="00C3130F">
      <w:pPr>
        <w:spacing w:after="0"/>
        <w:rPr>
          <w:b/>
          <w:bCs/>
          <w:color w:val="0070C0"/>
        </w:rPr>
      </w:pPr>
      <w:r>
        <w:rPr>
          <w:b/>
          <w:bCs/>
          <w:color w:val="0070C0"/>
        </w:rPr>
        <w:t>How is network funding allocated according to categorisation?</w:t>
      </w:r>
    </w:p>
    <w:p w14:paraId="0A4B801D" w14:textId="77777777" w:rsidR="00C3130F" w:rsidRDefault="00C3130F" w:rsidP="00C3130F">
      <w:pPr>
        <w:spacing w:after="0"/>
        <w:rPr>
          <w:b/>
          <w:bCs/>
          <w:color w:val="0070C0"/>
        </w:rPr>
      </w:pPr>
    </w:p>
    <w:p w14:paraId="7CC956F9" w14:textId="20E938DF" w:rsidR="00C3130F" w:rsidRDefault="00BB7576" w:rsidP="00C3130F">
      <w:pPr>
        <w:spacing w:after="0"/>
      </w:pPr>
      <w:r>
        <w:t>The funding for 2023/24 has been allocated on a per pupil amount, graduated so that pupils in schools with a higher tariff category receive a larger amount of funding.</w:t>
      </w:r>
    </w:p>
    <w:p w14:paraId="19C7CBFC" w14:textId="77777777" w:rsidR="00BB7576" w:rsidRDefault="00BB7576" w:rsidP="00C3130F">
      <w:pPr>
        <w:spacing w:after="0"/>
        <w:rPr>
          <w:color w:val="000000" w:themeColor="text1"/>
        </w:rPr>
      </w:pPr>
    </w:p>
    <w:p w14:paraId="531A9195" w14:textId="77777777" w:rsidR="00C3130F" w:rsidRDefault="00C3130F" w:rsidP="00C3130F">
      <w:pPr>
        <w:spacing w:after="0"/>
        <w:rPr>
          <w:color w:val="000000" w:themeColor="text1"/>
        </w:rPr>
      </w:pPr>
      <w:r>
        <w:rPr>
          <w:color w:val="000000" w:themeColor="text1"/>
        </w:rPr>
        <w:t xml:space="preserve">This weighting towards more funding for Category 1, 2 and 3 schools should be reflected in the proportionate allocation of funds to actions within network plans, </w:t>
      </w:r>
      <w:proofErr w:type="gramStart"/>
      <w:r>
        <w:rPr>
          <w:color w:val="000000" w:themeColor="text1"/>
        </w:rPr>
        <w:t>e.g.</w:t>
      </w:r>
      <w:proofErr w:type="gramEnd"/>
      <w:r>
        <w:rPr>
          <w:color w:val="000000" w:themeColor="text1"/>
        </w:rPr>
        <w:t xml:space="preserve"> focus schools could be expected to attract a higher level of funding.</w:t>
      </w:r>
    </w:p>
    <w:p w14:paraId="3D4FD62C" w14:textId="77777777" w:rsidR="00C3130F" w:rsidRDefault="00C3130F" w:rsidP="00C3130F">
      <w:pPr>
        <w:spacing w:after="0"/>
        <w:rPr>
          <w:color w:val="000000" w:themeColor="text1"/>
        </w:rPr>
      </w:pPr>
    </w:p>
    <w:p w14:paraId="3AD8360B" w14:textId="77777777" w:rsidR="00C3130F" w:rsidRPr="00804185" w:rsidRDefault="00C3130F" w:rsidP="00C3130F">
      <w:pPr>
        <w:spacing w:after="0"/>
        <w:rPr>
          <w:color w:val="000000" w:themeColor="text1"/>
        </w:rPr>
      </w:pPr>
      <w:r>
        <w:rPr>
          <w:color w:val="000000" w:themeColor="text1"/>
        </w:rPr>
        <w:t xml:space="preserve">As stated above, schools can change </w:t>
      </w:r>
      <w:proofErr w:type="gramStart"/>
      <w:r>
        <w:rPr>
          <w:color w:val="000000" w:themeColor="text1"/>
        </w:rPr>
        <w:t>categorisations</w:t>
      </w:r>
      <w:proofErr w:type="gramEnd"/>
      <w:r>
        <w:rPr>
          <w:color w:val="000000" w:themeColor="text1"/>
        </w:rPr>
        <w:t xml:space="preserve"> part way through an academic year.  If a school’s category is identified as requiring increased support part way through a year, the network lead and Senior Advisor will discuss whether additional funds need to be made available to the network to support focussed support.</w:t>
      </w:r>
    </w:p>
    <w:p w14:paraId="139E1898" w14:textId="77777777" w:rsidR="00C3130F" w:rsidRDefault="00C3130F" w:rsidP="00C3130F">
      <w:pPr>
        <w:spacing w:after="0"/>
        <w:rPr>
          <w:b/>
          <w:bCs/>
          <w:color w:val="0070C0"/>
        </w:rPr>
      </w:pPr>
    </w:p>
    <w:p w14:paraId="33223578" w14:textId="77777777" w:rsidR="00C3130F" w:rsidRDefault="00C3130F" w:rsidP="00C3130F">
      <w:pPr>
        <w:spacing w:after="0"/>
        <w:rPr>
          <w:b/>
          <w:bCs/>
          <w:color w:val="0070C0"/>
        </w:rPr>
      </w:pPr>
    </w:p>
    <w:p w14:paraId="426A038D" w14:textId="77777777" w:rsidR="00C3130F" w:rsidRDefault="00C3130F" w:rsidP="00C3130F">
      <w:pPr>
        <w:spacing w:after="0"/>
        <w:rPr>
          <w:b/>
          <w:bCs/>
          <w:color w:val="0070C0"/>
        </w:rPr>
      </w:pPr>
    </w:p>
    <w:p w14:paraId="762470BE" w14:textId="77777777" w:rsidR="00C3130F" w:rsidRDefault="00C3130F" w:rsidP="00C3130F">
      <w:pPr>
        <w:spacing w:after="0"/>
        <w:rPr>
          <w:b/>
          <w:bCs/>
          <w:color w:val="0070C0"/>
        </w:rPr>
      </w:pPr>
      <w:r>
        <w:rPr>
          <w:b/>
          <w:bCs/>
          <w:color w:val="0070C0"/>
        </w:rPr>
        <w:t>How is CMO allocation affected by categorisation?</w:t>
      </w:r>
    </w:p>
    <w:p w14:paraId="6F062733" w14:textId="77777777" w:rsidR="00C3130F" w:rsidRDefault="00C3130F" w:rsidP="00C3130F">
      <w:pPr>
        <w:spacing w:after="0"/>
        <w:rPr>
          <w:b/>
          <w:bCs/>
          <w:color w:val="0070C0"/>
        </w:rPr>
      </w:pPr>
    </w:p>
    <w:tbl>
      <w:tblPr>
        <w:tblStyle w:val="TableGrid"/>
        <w:tblW w:w="0" w:type="auto"/>
        <w:tblLook w:val="04A0" w:firstRow="1" w:lastRow="0" w:firstColumn="1" w:lastColumn="0" w:noHBand="0" w:noVBand="1"/>
      </w:tblPr>
      <w:tblGrid>
        <w:gridCol w:w="1838"/>
        <w:gridCol w:w="2410"/>
        <w:gridCol w:w="5103"/>
      </w:tblGrid>
      <w:tr w:rsidR="00C3130F" w14:paraId="2E81FFFB" w14:textId="77777777" w:rsidTr="00C80367">
        <w:trPr>
          <w:trHeight w:val="328"/>
        </w:trPr>
        <w:tc>
          <w:tcPr>
            <w:tcW w:w="1838" w:type="dxa"/>
            <w:vAlign w:val="center"/>
          </w:tcPr>
          <w:p w14:paraId="5A1ACB3C" w14:textId="77777777" w:rsidR="00C3130F" w:rsidRPr="009E71AD" w:rsidRDefault="00C3130F" w:rsidP="00C80367">
            <w:pPr>
              <w:jc w:val="center"/>
              <w:rPr>
                <w:color w:val="000000" w:themeColor="text1"/>
              </w:rPr>
            </w:pPr>
            <w:r w:rsidRPr="009E71AD">
              <w:rPr>
                <w:color w:val="000000" w:themeColor="text1"/>
              </w:rPr>
              <w:t>Category 1</w:t>
            </w:r>
          </w:p>
        </w:tc>
        <w:tc>
          <w:tcPr>
            <w:tcW w:w="2410" w:type="dxa"/>
            <w:tcBorders>
              <w:right w:val="single" w:sz="4" w:space="0" w:color="auto"/>
            </w:tcBorders>
            <w:vAlign w:val="center"/>
          </w:tcPr>
          <w:p w14:paraId="50F39270" w14:textId="77777777" w:rsidR="00C3130F" w:rsidRPr="009E71AD" w:rsidRDefault="00C3130F" w:rsidP="00C80367">
            <w:pPr>
              <w:jc w:val="center"/>
              <w:rPr>
                <w:color w:val="000000" w:themeColor="text1"/>
              </w:rPr>
            </w:pPr>
            <w:r>
              <w:rPr>
                <w:color w:val="000000" w:themeColor="text1"/>
              </w:rPr>
              <w:t>3 CMO visits</w:t>
            </w:r>
          </w:p>
        </w:tc>
        <w:tc>
          <w:tcPr>
            <w:tcW w:w="5103" w:type="dxa"/>
            <w:vMerge w:val="restart"/>
            <w:tcBorders>
              <w:top w:val="nil"/>
              <w:left w:val="single" w:sz="4" w:space="0" w:color="auto"/>
              <w:bottom w:val="nil"/>
              <w:right w:val="nil"/>
            </w:tcBorders>
          </w:tcPr>
          <w:p w14:paraId="2B45C421" w14:textId="77777777" w:rsidR="00C3130F" w:rsidRPr="009E71AD" w:rsidRDefault="00C3130F" w:rsidP="00C80367">
            <w:pPr>
              <w:rPr>
                <w:color w:val="000000" w:themeColor="text1"/>
              </w:rPr>
            </w:pPr>
            <w:r>
              <w:rPr>
                <w:color w:val="000000" w:themeColor="text1"/>
              </w:rPr>
              <w:t>These are default allocations – depending on the school’s context (especially for Category 1 and 3 schools, additional CMO visits could be agreed at the start of the year or as circumstances change during the year.</w:t>
            </w:r>
          </w:p>
        </w:tc>
      </w:tr>
      <w:tr w:rsidR="00C3130F" w14:paraId="38262584" w14:textId="77777777" w:rsidTr="00C80367">
        <w:trPr>
          <w:trHeight w:val="328"/>
        </w:trPr>
        <w:tc>
          <w:tcPr>
            <w:tcW w:w="1838" w:type="dxa"/>
            <w:vAlign w:val="center"/>
          </w:tcPr>
          <w:p w14:paraId="4C45F96E" w14:textId="77777777" w:rsidR="00C3130F" w:rsidRPr="009E71AD" w:rsidRDefault="00C3130F" w:rsidP="00C80367">
            <w:pPr>
              <w:jc w:val="center"/>
              <w:rPr>
                <w:color w:val="000000" w:themeColor="text1"/>
              </w:rPr>
            </w:pPr>
            <w:r w:rsidRPr="009E71AD">
              <w:rPr>
                <w:color w:val="000000" w:themeColor="text1"/>
              </w:rPr>
              <w:t>Category 2</w:t>
            </w:r>
          </w:p>
        </w:tc>
        <w:tc>
          <w:tcPr>
            <w:tcW w:w="2410" w:type="dxa"/>
            <w:tcBorders>
              <w:right w:val="single" w:sz="4" w:space="0" w:color="auto"/>
            </w:tcBorders>
            <w:vAlign w:val="center"/>
          </w:tcPr>
          <w:p w14:paraId="337EC21C" w14:textId="77777777" w:rsidR="00C3130F" w:rsidRPr="009E71AD" w:rsidRDefault="00C3130F" w:rsidP="00C80367">
            <w:pPr>
              <w:jc w:val="center"/>
              <w:rPr>
                <w:color w:val="000000" w:themeColor="text1"/>
              </w:rPr>
            </w:pPr>
            <w:r>
              <w:rPr>
                <w:color w:val="000000" w:themeColor="text1"/>
              </w:rPr>
              <w:t>3 CMO visits</w:t>
            </w:r>
          </w:p>
        </w:tc>
        <w:tc>
          <w:tcPr>
            <w:tcW w:w="5103" w:type="dxa"/>
            <w:vMerge/>
            <w:tcBorders>
              <w:top w:val="nil"/>
              <w:left w:val="single" w:sz="4" w:space="0" w:color="auto"/>
              <w:bottom w:val="nil"/>
              <w:right w:val="nil"/>
            </w:tcBorders>
          </w:tcPr>
          <w:p w14:paraId="20E97B26" w14:textId="77777777" w:rsidR="00C3130F" w:rsidRPr="009E71AD" w:rsidRDefault="00C3130F" w:rsidP="00C80367">
            <w:pPr>
              <w:rPr>
                <w:color w:val="000000" w:themeColor="text1"/>
              </w:rPr>
            </w:pPr>
          </w:p>
        </w:tc>
      </w:tr>
      <w:tr w:rsidR="00C3130F" w14:paraId="2B15545A" w14:textId="77777777" w:rsidTr="00C80367">
        <w:trPr>
          <w:trHeight w:val="328"/>
        </w:trPr>
        <w:tc>
          <w:tcPr>
            <w:tcW w:w="1838" w:type="dxa"/>
            <w:vAlign w:val="center"/>
          </w:tcPr>
          <w:p w14:paraId="2A7A0216" w14:textId="77777777" w:rsidR="00C3130F" w:rsidRPr="009E71AD" w:rsidRDefault="00C3130F" w:rsidP="00C80367">
            <w:pPr>
              <w:jc w:val="center"/>
              <w:rPr>
                <w:color w:val="000000" w:themeColor="text1"/>
              </w:rPr>
            </w:pPr>
            <w:r w:rsidRPr="009E71AD">
              <w:rPr>
                <w:color w:val="000000" w:themeColor="text1"/>
              </w:rPr>
              <w:t>Category 3</w:t>
            </w:r>
          </w:p>
        </w:tc>
        <w:tc>
          <w:tcPr>
            <w:tcW w:w="2410" w:type="dxa"/>
            <w:tcBorders>
              <w:right w:val="single" w:sz="4" w:space="0" w:color="auto"/>
            </w:tcBorders>
            <w:vAlign w:val="center"/>
          </w:tcPr>
          <w:p w14:paraId="25AEC442" w14:textId="77777777" w:rsidR="00C3130F" w:rsidRPr="009E71AD" w:rsidRDefault="00C3130F" w:rsidP="00C80367">
            <w:pPr>
              <w:jc w:val="center"/>
              <w:rPr>
                <w:color w:val="000000" w:themeColor="text1"/>
              </w:rPr>
            </w:pPr>
            <w:r>
              <w:rPr>
                <w:color w:val="000000" w:themeColor="text1"/>
              </w:rPr>
              <w:t>2 CMO visits</w:t>
            </w:r>
          </w:p>
        </w:tc>
        <w:tc>
          <w:tcPr>
            <w:tcW w:w="5103" w:type="dxa"/>
            <w:vMerge/>
            <w:tcBorders>
              <w:top w:val="nil"/>
              <w:left w:val="single" w:sz="4" w:space="0" w:color="auto"/>
              <w:bottom w:val="nil"/>
              <w:right w:val="nil"/>
            </w:tcBorders>
          </w:tcPr>
          <w:p w14:paraId="3CABEFA5" w14:textId="77777777" w:rsidR="00C3130F" w:rsidRPr="009E71AD" w:rsidRDefault="00C3130F" w:rsidP="00C80367">
            <w:pPr>
              <w:rPr>
                <w:color w:val="000000" w:themeColor="text1"/>
              </w:rPr>
            </w:pPr>
          </w:p>
        </w:tc>
      </w:tr>
      <w:tr w:rsidR="00C3130F" w14:paraId="079B9B15" w14:textId="77777777" w:rsidTr="00C80367">
        <w:trPr>
          <w:trHeight w:val="329"/>
        </w:trPr>
        <w:tc>
          <w:tcPr>
            <w:tcW w:w="1838" w:type="dxa"/>
            <w:vAlign w:val="center"/>
          </w:tcPr>
          <w:p w14:paraId="6C51B824" w14:textId="77777777" w:rsidR="00C3130F" w:rsidRPr="009E71AD" w:rsidRDefault="00C3130F" w:rsidP="00C80367">
            <w:pPr>
              <w:jc w:val="center"/>
              <w:rPr>
                <w:color w:val="000000" w:themeColor="text1"/>
              </w:rPr>
            </w:pPr>
            <w:r w:rsidRPr="009E71AD">
              <w:rPr>
                <w:color w:val="000000" w:themeColor="text1"/>
              </w:rPr>
              <w:t>Category 4</w:t>
            </w:r>
          </w:p>
        </w:tc>
        <w:tc>
          <w:tcPr>
            <w:tcW w:w="2410" w:type="dxa"/>
            <w:tcBorders>
              <w:right w:val="single" w:sz="4" w:space="0" w:color="auto"/>
            </w:tcBorders>
            <w:vAlign w:val="center"/>
          </w:tcPr>
          <w:p w14:paraId="161226CE" w14:textId="77777777" w:rsidR="00C3130F" w:rsidRPr="009E71AD" w:rsidRDefault="00C3130F" w:rsidP="00C80367">
            <w:pPr>
              <w:jc w:val="center"/>
              <w:rPr>
                <w:color w:val="000000" w:themeColor="text1"/>
              </w:rPr>
            </w:pPr>
            <w:r w:rsidRPr="009E71AD">
              <w:rPr>
                <w:color w:val="000000" w:themeColor="text1"/>
              </w:rPr>
              <w:t xml:space="preserve">1 </w:t>
            </w:r>
            <w:r>
              <w:rPr>
                <w:color w:val="000000" w:themeColor="text1"/>
              </w:rPr>
              <w:t xml:space="preserve">CMO </w:t>
            </w:r>
            <w:r w:rsidRPr="009E71AD">
              <w:rPr>
                <w:color w:val="000000" w:themeColor="text1"/>
              </w:rPr>
              <w:t>visit</w:t>
            </w:r>
          </w:p>
        </w:tc>
        <w:tc>
          <w:tcPr>
            <w:tcW w:w="5103" w:type="dxa"/>
            <w:vMerge/>
            <w:tcBorders>
              <w:top w:val="nil"/>
              <w:left w:val="single" w:sz="4" w:space="0" w:color="auto"/>
              <w:bottom w:val="nil"/>
              <w:right w:val="nil"/>
            </w:tcBorders>
          </w:tcPr>
          <w:p w14:paraId="51676BB3" w14:textId="77777777" w:rsidR="00C3130F" w:rsidRPr="009E71AD" w:rsidRDefault="00C3130F" w:rsidP="00C80367">
            <w:pPr>
              <w:rPr>
                <w:color w:val="000000" w:themeColor="text1"/>
              </w:rPr>
            </w:pPr>
          </w:p>
        </w:tc>
      </w:tr>
    </w:tbl>
    <w:p w14:paraId="77991B10" w14:textId="77777777" w:rsidR="00C3130F" w:rsidRDefault="00C3130F" w:rsidP="00C3130F">
      <w:pPr>
        <w:spacing w:after="0"/>
        <w:rPr>
          <w:b/>
          <w:bCs/>
          <w:color w:val="0070C0"/>
        </w:rPr>
      </w:pPr>
    </w:p>
    <w:p w14:paraId="47B03BFC" w14:textId="77777777" w:rsidR="00C3130F" w:rsidRDefault="00C3130F" w:rsidP="00C3130F">
      <w:pPr>
        <w:spacing w:after="0"/>
        <w:rPr>
          <w:b/>
          <w:bCs/>
          <w:color w:val="0070C0"/>
        </w:rPr>
      </w:pPr>
    </w:p>
    <w:p w14:paraId="4EFA0019" w14:textId="77777777" w:rsidR="00C3130F" w:rsidRDefault="00C3130F" w:rsidP="00C3130F">
      <w:pPr>
        <w:spacing w:after="0"/>
        <w:rPr>
          <w:b/>
          <w:bCs/>
          <w:color w:val="0070C0"/>
        </w:rPr>
      </w:pPr>
    </w:p>
    <w:p w14:paraId="67E298D8" w14:textId="77777777" w:rsidR="00C3130F" w:rsidRPr="001817D5" w:rsidRDefault="00C3130F" w:rsidP="00C3130F">
      <w:pPr>
        <w:spacing w:after="0"/>
        <w:rPr>
          <w:b/>
          <w:bCs/>
          <w:color w:val="0070C0"/>
        </w:rPr>
      </w:pPr>
      <w:r w:rsidRPr="001817D5">
        <w:rPr>
          <w:b/>
          <w:bCs/>
          <w:color w:val="0070C0"/>
        </w:rPr>
        <w:t>Wh</w:t>
      </w:r>
      <w:r>
        <w:rPr>
          <w:b/>
          <w:bCs/>
          <w:color w:val="0070C0"/>
        </w:rPr>
        <w:t>at is the focus and structure for CMO visits</w:t>
      </w:r>
      <w:r w:rsidRPr="001817D5">
        <w:rPr>
          <w:b/>
          <w:bCs/>
          <w:color w:val="0070C0"/>
        </w:rPr>
        <w:t>?</w:t>
      </w:r>
    </w:p>
    <w:p w14:paraId="7B0E8788" w14:textId="77777777" w:rsidR="00C3130F" w:rsidRDefault="00C3130F" w:rsidP="00C3130F">
      <w:pPr>
        <w:spacing w:after="0"/>
      </w:pPr>
    </w:p>
    <w:p w14:paraId="1613E7F3" w14:textId="1817BF34" w:rsidR="00C3130F" w:rsidRDefault="00CA2B33" w:rsidP="00C3130F">
      <w:pPr>
        <w:spacing w:after="0"/>
      </w:pPr>
      <w:r>
        <w:t>A separate document explains the role and organisation of CMO visits.</w:t>
      </w:r>
    </w:p>
    <w:p w14:paraId="14B60B01" w14:textId="77777777" w:rsidR="00C3130F" w:rsidRPr="00D31E8A" w:rsidRDefault="00C3130F" w:rsidP="00C3130F">
      <w:pPr>
        <w:spacing w:after="0"/>
      </w:pPr>
    </w:p>
    <w:p w14:paraId="26D0E1E8" w14:textId="77777777" w:rsidR="00C3130F" w:rsidRDefault="00C3130F" w:rsidP="00C3130F">
      <w:pPr>
        <w:spacing w:after="0"/>
        <w:rPr>
          <w:b/>
          <w:bCs/>
          <w:color w:val="0070C0"/>
        </w:rPr>
      </w:pPr>
    </w:p>
    <w:p w14:paraId="36775221" w14:textId="77777777" w:rsidR="00C3130F" w:rsidRPr="001817D5" w:rsidRDefault="00C3130F" w:rsidP="00C3130F">
      <w:pPr>
        <w:spacing w:after="0"/>
        <w:rPr>
          <w:b/>
          <w:bCs/>
          <w:color w:val="0070C0"/>
        </w:rPr>
      </w:pPr>
      <w:r w:rsidRPr="001817D5">
        <w:rPr>
          <w:b/>
          <w:bCs/>
          <w:color w:val="0070C0"/>
        </w:rPr>
        <w:t xml:space="preserve">Who provides accountability to schools (and their networks) </w:t>
      </w:r>
      <w:r>
        <w:rPr>
          <w:b/>
          <w:bCs/>
          <w:color w:val="0070C0"/>
        </w:rPr>
        <w:t xml:space="preserve">for </w:t>
      </w:r>
      <w:r w:rsidRPr="001817D5">
        <w:rPr>
          <w:b/>
          <w:bCs/>
          <w:color w:val="0070C0"/>
        </w:rPr>
        <w:t xml:space="preserve">Category </w:t>
      </w:r>
      <w:r>
        <w:rPr>
          <w:b/>
          <w:bCs/>
          <w:color w:val="0070C0"/>
        </w:rPr>
        <w:t>1</w:t>
      </w:r>
      <w:r w:rsidRPr="001817D5">
        <w:rPr>
          <w:b/>
          <w:bCs/>
          <w:color w:val="0070C0"/>
        </w:rPr>
        <w:t xml:space="preserve"> </w:t>
      </w:r>
      <w:r>
        <w:rPr>
          <w:b/>
          <w:bCs/>
          <w:color w:val="0070C0"/>
        </w:rPr>
        <w:t>and Category 2</w:t>
      </w:r>
      <w:r w:rsidRPr="001817D5">
        <w:rPr>
          <w:b/>
          <w:bCs/>
          <w:color w:val="0070C0"/>
        </w:rPr>
        <w:t>?</w:t>
      </w:r>
    </w:p>
    <w:p w14:paraId="1A969575" w14:textId="77777777" w:rsidR="00C3130F" w:rsidRDefault="00C3130F" w:rsidP="00C3130F">
      <w:pPr>
        <w:spacing w:after="0"/>
        <w:rPr>
          <w:color w:val="0070C0"/>
        </w:rPr>
      </w:pPr>
    </w:p>
    <w:p w14:paraId="1DF05856" w14:textId="77777777" w:rsidR="00C3130F" w:rsidRPr="00D5730F" w:rsidRDefault="00C3130F" w:rsidP="00C3130F">
      <w:pPr>
        <w:spacing w:after="0"/>
      </w:pPr>
      <w:r w:rsidRPr="00D5730F">
        <w:t>Senior Advisor chairs this process – accountability provided by SIB membership (</w:t>
      </w:r>
      <w:r w:rsidRPr="00AD5DB1">
        <w:t>including network representative – this is likely to be the network lead but can be delegated to</w:t>
      </w:r>
      <w:r>
        <w:t xml:space="preserve"> an alternative, appropriately experienced, headteacher</w:t>
      </w:r>
      <w:r w:rsidRPr="00D5730F">
        <w:t>).</w:t>
      </w:r>
    </w:p>
    <w:p w14:paraId="2879A2E0" w14:textId="77777777" w:rsidR="00C3130F" w:rsidRDefault="00C3130F" w:rsidP="00C3130F">
      <w:pPr>
        <w:spacing w:after="0"/>
        <w:rPr>
          <w:color w:val="0070C0"/>
        </w:rPr>
      </w:pPr>
    </w:p>
    <w:p w14:paraId="5D6A37BA" w14:textId="77777777" w:rsidR="00C3130F" w:rsidRDefault="00C3130F" w:rsidP="00C3130F">
      <w:pPr>
        <w:spacing w:after="0"/>
        <w:rPr>
          <w:b/>
          <w:bCs/>
          <w:color w:val="0070C0"/>
        </w:rPr>
      </w:pPr>
    </w:p>
    <w:p w14:paraId="4EE8B7EE" w14:textId="77777777" w:rsidR="00C3130F" w:rsidRDefault="00C3130F" w:rsidP="00C3130F">
      <w:pPr>
        <w:spacing w:after="0"/>
        <w:rPr>
          <w:b/>
          <w:bCs/>
          <w:color w:val="0070C0"/>
        </w:rPr>
      </w:pPr>
      <w:r>
        <w:rPr>
          <w:b/>
          <w:bCs/>
          <w:color w:val="0070C0"/>
        </w:rPr>
        <w:t>Who provides accountability to schools (and their networks) at Category 3?</w:t>
      </w:r>
    </w:p>
    <w:p w14:paraId="50E50BBD" w14:textId="77777777" w:rsidR="00C3130F" w:rsidRDefault="00C3130F" w:rsidP="00C3130F">
      <w:pPr>
        <w:spacing w:after="0"/>
        <w:rPr>
          <w:color w:val="0070C0"/>
        </w:rPr>
      </w:pPr>
    </w:p>
    <w:p w14:paraId="7E00292C" w14:textId="77777777" w:rsidR="00C3130F" w:rsidRDefault="00C3130F" w:rsidP="00C3130F">
      <w:pPr>
        <w:spacing w:after="0"/>
      </w:pPr>
      <w:r>
        <w:t>Each Category 3 Focus School will have actions identified as a core part of the network’s overall action plan.  The accountability for progress and impact of these actions is provided by the Primary Network Improvement Board (as part of overseeing progress of the action plans in general).  However, during 2023/24, we will explore a model to develop the use of other system leaders in providing this accountability (alongside additional support).</w:t>
      </w:r>
    </w:p>
    <w:p w14:paraId="6738832E" w14:textId="77777777" w:rsidR="00C3130F" w:rsidRDefault="00C3130F" w:rsidP="00C3130F">
      <w:pPr>
        <w:spacing w:after="0"/>
        <w:rPr>
          <w:color w:val="0070C0"/>
        </w:rPr>
      </w:pPr>
    </w:p>
    <w:p w14:paraId="7E0D61D6" w14:textId="77777777" w:rsidR="00C3130F" w:rsidRDefault="00C3130F" w:rsidP="00C3130F">
      <w:pPr>
        <w:spacing w:after="0"/>
        <w:rPr>
          <w:color w:val="0070C0"/>
        </w:rPr>
      </w:pPr>
    </w:p>
    <w:p w14:paraId="626F3EAF" w14:textId="77777777" w:rsidR="00C3130F" w:rsidRPr="00701472" w:rsidRDefault="00C3130F" w:rsidP="00C3130F">
      <w:pPr>
        <w:spacing w:after="0"/>
        <w:rPr>
          <w:b/>
          <w:bCs/>
          <w:color w:val="0070C0"/>
        </w:rPr>
      </w:pPr>
      <w:r>
        <w:rPr>
          <w:b/>
          <w:bCs/>
          <w:color w:val="0070C0"/>
        </w:rPr>
        <w:t>Wh</w:t>
      </w:r>
      <w:r w:rsidRPr="00701472">
        <w:rPr>
          <w:b/>
          <w:bCs/>
          <w:color w:val="0070C0"/>
        </w:rPr>
        <w:t xml:space="preserve">at happens if a </w:t>
      </w:r>
      <w:r>
        <w:rPr>
          <w:b/>
          <w:bCs/>
          <w:color w:val="0070C0"/>
        </w:rPr>
        <w:t>school does not agree with the categorisation and/or does not wish to engage with support?</w:t>
      </w:r>
    </w:p>
    <w:p w14:paraId="60C4A7CC" w14:textId="77777777" w:rsidR="00C3130F" w:rsidRDefault="00C3130F" w:rsidP="00C3130F">
      <w:pPr>
        <w:spacing w:after="0"/>
        <w:rPr>
          <w:color w:val="0070C0"/>
        </w:rPr>
      </w:pPr>
    </w:p>
    <w:p w14:paraId="73663059" w14:textId="77777777" w:rsidR="00C3130F" w:rsidRPr="00580F01" w:rsidRDefault="00C3130F" w:rsidP="00C3130F">
      <w:pPr>
        <w:spacing w:after="0"/>
      </w:pPr>
      <w:r w:rsidRPr="00580F01">
        <w:t xml:space="preserve">Joint school improvement work always works best when there is shared agreement regarding areas identified for improvement.  Support for schools is unlikely to be effective where a school disagrees with </w:t>
      </w:r>
      <w:r>
        <w:t>the reasons that support has been offered</w:t>
      </w:r>
      <w:r w:rsidRPr="00580F01">
        <w:t>.</w:t>
      </w:r>
    </w:p>
    <w:p w14:paraId="3259AE1C" w14:textId="77777777" w:rsidR="00C3130F" w:rsidRDefault="00C3130F" w:rsidP="00C3130F">
      <w:pPr>
        <w:spacing w:after="0"/>
        <w:rPr>
          <w:color w:val="0070C0"/>
        </w:rPr>
      </w:pPr>
    </w:p>
    <w:p w14:paraId="357931AD" w14:textId="77777777" w:rsidR="00C3130F" w:rsidRDefault="00C3130F" w:rsidP="00C3130F">
      <w:pPr>
        <w:spacing w:after="0"/>
      </w:pPr>
      <w:r w:rsidRPr="000F75F5">
        <w:t>The Local Authority</w:t>
      </w:r>
      <w:r>
        <w:t xml:space="preserve"> has</w:t>
      </w:r>
      <w:r w:rsidRPr="000F75F5">
        <w:t xml:space="preserve"> statutory responsibilities regarding school improvement</w:t>
      </w:r>
      <w:r>
        <w:t xml:space="preserve"> and performance.  However, the threshold for these responsibilities is significantly above the level at which the partnership model operates – this is because the partnership works together to support each other for the benefit of children not because they must but because they agree that they should.  The role of the LA is to enable this partnership.</w:t>
      </w:r>
    </w:p>
    <w:p w14:paraId="05739AF5" w14:textId="77777777" w:rsidR="00C3130F" w:rsidRDefault="00C3130F" w:rsidP="00C3130F">
      <w:pPr>
        <w:spacing w:after="0"/>
      </w:pPr>
    </w:p>
    <w:p w14:paraId="3F0C6C11" w14:textId="77777777" w:rsidR="00C3130F" w:rsidRDefault="00C3130F" w:rsidP="00C3130F">
      <w:pPr>
        <w:spacing w:after="0"/>
      </w:pPr>
      <w:r>
        <w:t>Given this context, any school could opt out of any support / intervention up until the LA has to take steps in line with statutory rules.  However, if a school does choose to opt out of such support, the LA will ensure that governors/trustees and school leaders have been clearly communicated with regarding the reasons for the support being offered.</w:t>
      </w:r>
    </w:p>
    <w:p w14:paraId="5A9A9174" w14:textId="77777777" w:rsidR="00C3130F" w:rsidRDefault="00C3130F" w:rsidP="00C3130F">
      <w:pPr>
        <w:spacing w:after="0"/>
      </w:pPr>
    </w:p>
    <w:p w14:paraId="76CB01B4" w14:textId="77777777" w:rsidR="00C3130F" w:rsidRPr="000F75F5" w:rsidRDefault="00C3130F" w:rsidP="00C3130F">
      <w:pPr>
        <w:spacing w:after="0"/>
      </w:pPr>
      <w:r>
        <w:t xml:space="preserve">Currently, school-to-school support funding is provided (via collaboratives/networks) on the understanding that schools engage in working together for the benefit of Coventry children and towards Coventry Education Partnership priorities.  If a school opts out engagement in their collaborative or network, it is not automatic that they would not benefit from funding that supports Coventry Education Partnership </w:t>
      </w:r>
      <w:proofErr w:type="gramStart"/>
      <w:r>
        <w:t>collaboration</w:t>
      </w:r>
      <w:proofErr w:type="gramEnd"/>
      <w:r>
        <w:t xml:space="preserve"> but this would be reviewed.</w:t>
      </w:r>
    </w:p>
    <w:p w14:paraId="650D4C2D" w14:textId="77777777" w:rsidR="00C3130F" w:rsidRDefault="00C3130F" w:rsidP="00C3130F">
      <w:pPr>
        <w:pBdr>
          <w:bottom w:val="single" w:sz="12" w:space="1" w:color="auto"/>
        </w:pBdr>
        <w:spacing w:after="0"/>
        <w:rPr>
          <w:color w:val="0070C0"/>
        </w:rPr>
      </w:pPr>
    </w:p>
    <w:p w14:paraId="4A3048DE" w14:textId="77777777" w:rsidR="00C3130F" w:rsidRDefault="00C3130F" w:rsidP="00C3130F">
      <w:pPr>
        <w:spacing w:after="0"/>
        <w:rPr>
          <w:highlight w:val="yellow"/>
        </w:rPr>
      </w:pPr>
    </w:p>
    <w:p w14:paraId="3968436B" w14:textId="77777777" w:rsidR="00C3130F" w:rsidRDefault="00C3130F" w:rsidP="00C3130F">
      <w:pPr>
        <w:spacing w:after="0"/>
        <w:rPr>
          <w:highlight w:val="yellow"/>
        </w:rPr>
      </w:pPr>
    </w:p>
    <w:p w14:paraId="6FEF2062" w14:textId="77777777" w:rsidR="00C3130F" w:rsidRDefault="00C3130F" w:rsidP="00C3130F">
      <w:pPr>
        <w:spacing w:after="0"/>
        <w:rPr>
          <w:b/>
          <w:bCs/>
          <w:u w:val="single"/>
        </w:rPr>
      </w:pPr>
      <w:r w:rsidRPr="00D216FA">
        <w:rPr>
          <w:b/>
          <w:bCs/>
          <w:u w:val="single"/>
        </w:rPr>
        <w:t>Support from Schools</w:t>
      </w:r>
    </w:p>
    <w:p w14:paraId="43BA3880" w14:textId="77777777" w:rsidR="00C3130F" w:rsidRDefault="00C3130F" w:rsidP="00C3130F">
      <w:pPr>
        <w:spacing w:after="0"/>
        <w:rPr>
          <w:b/>
          <w:bCs/>
          <w:u w:val="single"/>
        </w:rPr>
      </w:pPr>
    </w:p>
    <w:p w14:paraId="5A166BBA" w14:textId="77777777" w:rsidR="00C3130F" w:rsidRDefault="00C3130F" w:rsidP="00C3130F">
      <w:pPr>
        <w:spacing w:after="0"/>
      </w:pPr>
      <w:r>
        <w:t xml:space="preserve">The categorisation model identifies schools within the system that would benefit from support in one or more aspects of their school improvement journey.  The Coventry Education Partnership is clear that much of this support can be sourced from the partnership itself.  </w:t>
      </w:r>
    </w:p>
    <w:p w14:paraId="292FA79F" w14:textId="77777777" w:rsidR="00C3130F" w:rsidRDefault="00C3130F" w:rsidP="00C3130F">
      <w:pPr>
        <w:spacing w:after="0"/>
      </w:pPr>
    </w:p>
    <w:p w14:paraId="243E4B91" w14:textId="77777777" w:rsidR="00C3130F" w:rsidRDefault="00C3130F" w:rsidP="00C3130F">
      <w:pPr>
        <w:spacing w:after="0"/>
      </w:pPr>
      <w:r>
        <w:t>Schools in any category can be identified as having specific areas of strength to share with others via:</w:t>
      </w:r>
    </w:p>
    <w:p w14:paraId="04E5B420" w14:textId="77777777" w:rsidR="00C3130F" w:rsidRDefault="00C3130F" w:rsidP="00C3130F">
      <w:pPr>
        <w:pStyle w:val="ListParagraph"/>
        <w:numPr>
          <w:ilvl w:val="0"/>
          <w:numId w:val="3"/>
        </w:numPr>
        <w:spacing w:after="0"/>
      </w:pPr>
      <w:r>
        <w:t>Coventry Leaders’ Directory</w:t>
      </w:r>
    </w:p>
    <w:p w14:paraId="7B3BD6CF" w14:textId="77777777" w:rsidR="00C3130F" w:rsidRDefault="00C3130F" w:rsidP="00C3130F">
      <w:pPr>
        <w:pStyle w:val="ListParagraph"/>
        <w:numPr>
          <w:ilvl w:val="0"/>
          <w:numId w:val="3"/>
        </w:numPr>
        <w:spacing w:after="0"/>
      </w:pPr>
      <w:r>
        <w:t>CMO feedback (collated from CMO reports – shared as a standing item on the agenda when network leads meet)</w:t>
      </w:r>
    </w:p>
    <w:p w14:paraId="41ACC354" w14:textId="77777777" w:rsidR="00C3130F" w:rsidRDefault="00C3130F" w:rsidP="00C3130F">
      <w:pPr>
        <w:pStyle w:val="ListParagraph"/>
        <w:numPr>
          <w:ilvl w:val="0"/>
          <w:numId w:val="3"/>
        </w:numPr>
        <w:spacing w:after="0"/>
      </w:pPr>
      <w:r>
        <w:t>System leadership models</w:t>
      </w:r>
    </w:p>
    <w:p w14:paraId="1BCE385F" w14:textId="77777777" w:rsidR="00C3130F" w:rsidRDefault="00C3130F" w:rsidP="00C3130F">
      <w:pPr>
        <w:pStyle w:val="ListParagraph"/>
        <w:numPr>
          <w:ilvl w:val="0"/>
          <w:numId w:val="3"/>
        </w:numPr>
        <w:spacing w:after="0"/>
      </w:pPr>
      <w:r>
        <w:t>Network Leads</w:t>
      </w:r>
    </w:p>
    <w:p w14:paraId="51555998" w14:textId="77777777" w:rsidR="00C3130F" w:rsidRDefault="00C3130F" w:rsidP="00C3130F">
      <w:pPr>
        <w:spacing w:after="0"/>
      </w:pPr>
    </w:p>
    <w:p w14:paraId="525B0831" w14:textId="77777777" w:rsidR="00C3130F" w:rsidRPr="00D216FA" w:rsidRDefault="00C3130F" w:rsidP="00C3130F">
      <w:pPr>
        <w:spacing w:after="0"/>
      </w:pPr>
      <w:r>
        <w:t>A school can be categorised as a focus school (including a SIB school) for a range of reasons.  These do not preclude that school from also being able to offer support (to other schools) in their other areas of strength.</w:t>
      </w:r>
    </w:p>
    <w:p w14:paraId="46F73D99" w14:textId="443AAF47" w:rsidR="004641A1" w:rsidRPr="00D216FA" w:rsidRDefault="004641A1" w:rsidP="00C3130F">
      <w:pPr>
        <w:spacing w:after="0"/>
      </w:pPr>
    </w:p>
    <w:sectPr w:rsidR="004641A1" w:rsidRPr="00D216FA" w:rsidSect="003D09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A6"/>
    <w:multiLevelType w:val="hybridMultilevel"/>
    <w:tmpl w:val="5900E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803A6"/>
    <w:multiLevelType w:val="hybridMultilevel"/>
    <w:tmpl w:val="5BD69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C59CF"/>
    <w:multiLevelType w:val="hybridMultilevel"/>
    <w:tmpl w:val="3A703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B11AD"/>
    <w:multiLevelType w:val="hybridMultilevel"/>
    <w:tmpl w:val="922C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51EDC"/>
    <w:multiLevelType w:val="hybridMultilevel"/>
    <w:tmpl w:val="4C62C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13AD3"/>
    <w:multiLevelType w:val="hybridMultilevel"/>
    <w:tmpl w:val="C338C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D67C1"/>
    <w:multiLevelType w:val="hybridMultilevel"/>
    <w:tmpl w:val="459A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F1484B"/>
    <w:multiLevelType w:val="hybridMultilevel"/>
    <w:tmpl w:val="58CC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5314B"/>
    <w:multiLevelType w:val="hybridMultilevel"/>
    <w:tmpl w:val="85EAD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F6506"/>
    <w:multiLevelType w:val="hybridMultilevel"/>
    <w:tmpl w:val="DC8E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91AF0"/>
    <w:multiLevelType w:val="hybridMultilevel"/>
    <w:tmpl w:val="338AA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D06376"/>
    <w:multiLevelType w:val="hybridMultilevel"/>
    <w:tmpl w:val="0102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E79D5"/>
    <w:multiLevelType w:val="hybridMultilevel"/>
    <w:tmpl w:val="5C8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A15C0"/>
    <w:multiLevelType w:val="hybridMultilevel"/>
    <w:tmpl w:val="22BE5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FB0F63"/>
    <w:multiLevelType w:val="hybridMultilevel"/>
    <w:tmpl w:val="E260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D608D"/>
    <w:multiLevelType w:val="hybridMultilevel"/>
    <w:tmpl w:val="A6D6E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D15248"/>
    <w:multiLevelType w:val="hybridMultilevel"/>
    <w:tmpl w:val="A04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D6256"/>
    <w:multiLevelType w:val="hybridMultilevel"/>
    <w:tmpl w:val="916C4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77055B"/>
    <w:multiLevelType w:val="hybridMultilevel"/>
    <w:tmpl w:val="C838A2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564FB2"/>
    <w:multiLevelType w:val="hybridMultilevel"/>
    <w:tmpl w:val="6062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5425894">
    <w:abstractNumId w:val="17"/>
  </w:num>
  <w:num w:numId="2" w16cid:durableId="827983135">
    <w:abstractNumId w:val="5"/>
  </w:num>
  <w:num w:numId="3" w16cid:durableId="1051733746">
    <w:abstractNumId w:val="13"/>
  </w:num>
  <w:num w:numId="4" w16cid:durableId="1284996756">
    <w:abstractNumId w:val="9"/>
  </w:num>
  <w:num w:numId="5" w16cid:durableId="19819566">
    <w:abstractNumId w:val="0"/>
  </w:num>
  <w:num w:numId="6" w16cid:durableId="1862089499">
    <w:abstractNumId w:val="12"/>
  </w:num>
  <w:num w:numId="7" w16cid:durableId="158735085">
    <w:abstractNumId w:val="10"/>
  </w:num>
  <w:num w:numId="8" w16cid:durableId="1286889590">
    <w:abstractNumId w:val="15"/>
  </w:num>
  <w:num w:numId="9" w16cid:durableId="392895295">
    <w:abstractNumId w:val="1"/>
  </w:num>
  <w:num w:numId="10" w16cid:durableId="1207643486">
    <w:abstractNumId w:val="4"/>
  </w:num>
  <w:num w:numId="11" w16cid:durableId="254436277">
    <w:abstractNumId w:val="18"/>
  </w:num>
  <w:num w:numId="12" w16cid:durableId="330647809">
    <w:abstractNumId w:val="19"/>
  </w:num>
  <w:num w:numId="13" w16cid:durableId="671183160">
    <w:abstractNumId w:val="7"/>
  </w:num>
  <w:num w:numId="14" w16cid:durableId="1494295368">
    <w:abstractNumId w:val="6"/>
  </w:num>
  <w:num w:numId="15" w16cid:durableId="61485616">
    <w:abstractNumId w:val="2"/>
  </w:num>
  <w:num w:numId="16" w16cid:durableId="145099200">
    <w:abstractNumId w:val="14"/>
  </w:num>
  <w:num w:numId="17" w16cid:durableId="1968972559">
    <w:abstractNumId w:val="8"/>
  </w:num>
  <w:num w:numId="18" w16cid:durableId="732003821">
    <w:abstractNumId w:val="16"/>
  </w:num>
  <w:num w:numId="19" w16cid:durableId="1465544035">
    <w:abstractNumId w:val="11"/>
  </w:num>
  <w:num w:numId="20" w16cid:durableId="567499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CA"/>
    <w:rsid w:val="0000696A"/>
    <w:rsid w:val="000141A6"/>
    <w:rsid w:val="000252E1"/>
    <w:rsid w:val="000344C8"/>
    <w:rsid w:val="00047AB7"/>
    <w:rsid w:val="00053230"/>
    <w:rsid w:val="000737F7"/>
    <w:rsid w:val="00077DC9"/>
    <w:rsid w:val="00081FB3"/>
    <w:rsid w:val="0009297B"/>
    <w:rsid w:val="000B28E8"/>
    <w:rsid w:val="000B5B44"/>
    <w:rsid w:val="000C0D50"/>
    <w:rsid w:val="000C2337"/>
    <w:rsid w:val="000D1E94"/>
    <w:rsid w:val="000F75F5"/>
    <w:rsid w:val="00101E1D"/>
    <w:rsid w:val="0012270D"/>
    <w:rsid w:val="00135147"/>
    <w:rsid w:val="00142D80"/>
    <w:rsid w:val="001468B8"/>
    <w:rsid w:val="00150176"/>
    <w:rsid w:val="001514ED"/>
    <w:rsid w:val="0015530B"/>
    <w:rsid w:val="00162482"/>
    <w:rsid w:val="001817D5"/>
    <w:rsid w:val="001860FC"/>
    <w:rsid w:val="001A126F"/>
    <w:rsid w:val="001A5286"/>
    <w:rsid w:val="001C4447"/>
    <w:rsid w:val="001D0685"/>
    <w:rsid w:val="001E3889"/>
    <w:rsid w:val="001F43EC"/>
    <w:rsid w:val="002009BB"/>
    <w:rsid w:val="002078B7"/>
    <w:rsid w:val="00235068"/>
    <w:rsid w:val="00247FCB"/>
    <w:rsid w:val="00250DC9"/>
    <w:rsid w:val="0025715E"/>
    <w:rsid w:val="00263F42"/>
    <w:rsid w:val="00264297"/>
    <w:rsid w:val="002672FD"/>
    <w:rsid w:val="00295629"/>
    <w:rsid w:val="002B2764"/>
    <w:rsid w:val="002B577C"/>
    <w:rsid w:val="002C2CF8"/>
    <w:rsid w:val="002C5336"/>
    <w:rsid w:val="002E7F54"/>
    <w:rsid w:val="002F16BA"/>
    <w:rsid w:val="003063D6"/>
    <w:rsid w:val="00312E93"/>
    <w:rsid w:val="00336628"/>
    <w:rsid w:val="003366C6"/>
    <w:rsid w:val="00350464"/>
    <w:rsid w:val="00352681"/>
    <w:rsid w:val="0037231F"/>
    <w:rsid w:val="003A1FB3"/>
    <w:rsid w:val="003A762D"/>
    <w:rsid w:val="003B0843"/>
    <w:rsid w:val="003C1B76"/>
    <w:rsid w:val="003C26C7"/>
    <w:rsid w:val="003D0042"/>
    <w:rsid w:val="003D09CA"/>
    <w:rsid w:val="00400E40"/>
    <w:rsid w:val="00406D9A"/>
    <w:rsid w:val="00410D0F"/>
    <w:rsid w:val="004117ED"/>
    <w:rsid w:val="004177A4"/>
    <w:rsid w:val="004346DF"/>
    <w:rsid w:val="00436B28"/>
    <w:rsid w:val="00451BB4"/>
    <w:rsid w:val="00460221"/>
    <w:rsid w:val="004641A1"/>
    <w:rsid w:val="00483A0E"/>
    <w:rsid w:val="00483B23"/>
    <w:rsid w:val="0048418B"/>
    <w:rsid w:val="00491EA1"/>
    <w:rsid w:val="004A625A"/>
    <w:rsid w:val="004B18C8"/>
    <w:rsid w:val="004B6678"/>
    <w:rsid w:val="004C592B"/>
    <w:rsid w:val="004D5E15"/>
    <w:rsid w:val="004F5F3D"/>
    <w:rsid w:val="005071E4"/>
    <w:rsid w:val="0051242E"/>
    <w:rsid w:val="005149E4"/>
    <w:rsid w:val="00533B92"/>
    <w:rsid w:val="005360D0"/>
    <w:rsid w:val="00553BC0"/>
    <w:rsid w:val="00564907"/>
    <w:rsid w:val="0057553F"/>
    <w:rsid w:val="00580F01"/>
    <w:rsid w:val="00582529"/>
    <w:rsid w:val="005855A4"/>
    <w:rsid w:val="0059061E"/>
    <w:rsid w:val="00594920"/>
    <w:rsid w:val="005A5437"/>
    <w:rsid w:val="005A6BC3"/>
    <w:rsid w:val="005D22E0"/>
    <w:rsid w:val="005D3B68"/>
    <w:rsid w:val="005D4705"/>
    <w:rsid w:val="005E7452"/>
    <w:rsid w:val="006027AD"/>
    <w:rsid w:val="006038C5"/>
    <w:rsid w:val="0062625B"/>
    <w:rsid w:val="00627396"/>
    <w:rsid w:val="00632FF0"/>
    <w:rsid w:val="0063671E"/>
    <w:rsid w:val="00642FDB"/>
    <w:rsid w:val="00650B93"/>
    <w:rsid w:val="00660588"/>
    <w:rsid w:val="00665D07"/>
    <w:rsid w:val="006906BD"/>
    <w:rsid w:val="006F2FD1"/>
    <w:rsid w:val="00701472"/>
    <w:rsid w:val="007032AD"/>
    <w:rsid w:val="00704CC0"/>
    <w:rsid w:val="00711697"/>
    <w:rsid w:val="00712C5E"/>
    <w:rsid w:val="00724BFD"/>
    <w:rsid w:val="00725C66"/>
    <w:rsid w:val="00737A80"/>
    <w:rsid w:val="0074164E"/>
    <w:rsid w:val="00744AC7"/>
    <w:rsid w:val="007477B6"/>
    <w:rsid w:val="007558F2"/>
    <w:rsid w:val="00764F38"/>
    <w:rsid w:val="00771D53"/>
    <w:rsid w:val="007745EC"/>
    <w:rsid w:val="00775754"/>
    <w:rsid w:val="0078465F"/>
    <w:rsid w:val="007A3F83"/>
    <w:rsid w:val="007B6F74"/>
    <w:rsid w:val="007C455B"/>
    <w:rsid w:val="007D35D4"/>
    <w:rsid w:val="007E09B6"/>
    <w:rsid w:val="007E18EE"/>
    <w:rsid w:val="00801356"/>
    <w:rsid w:val="00804185"/>
    <w:rsid w:val="00807877"/>
    <w:rsid w:val="00834612"/>
    <w:rsid w:val="008355A3"/>
    <w:rsid w:val="00841265"/>
    <w:rsid w:val="008426C7"/>
    <w:rsid w:val="0086009E"/>
    <w:rsid w:val="00871D42"/>
    <w:rsid w:val="00877543"/>
    <w:rsid w:val="008916BB"/>
    <w:rsid w:val="00894715"/>
    <w:rsid w:val="00896CC5"/>
    <w:rsid w:val="008B3679"/>
    <w:rsid w:val="008D3273"/>
    <w:rsid w:val="008F5955"/>
    <w:rsid w:val="009001B1"/>
    <w:rsid w:val="00903BB8"/>
    <w:rsid w:val="009065D9"/>
    <w:rsid w:val="00922AB3"/>
    <w:rsid w:val="00936984"/>
    <w:rsid w:val="009413D0"/>
    <w:rsid w:val="00953500"/>
    <w:rsid w:val="0095572C"/>
    <w:rsid w:val="00963875"/>
    <w:rsid w:val="009709DB"/>
    <w:rsid w:val="0098271E"/>
    <w:rsid w:val="009933AC"/>
    <w:rsid w:val="009C579E"/>
    <w:rsid w:val="009D12AA"/>
    <w:rsid w:val="009D2541"/>
    <w:rsid w:val="009E13D5"/>
    <w:rsid w:val="009E2705"/>
    <w:rsid w:val="009E71AD"/>
    <w:rsid w:val="009F19A0"/>
    <w:rsid w:val="00A00BAC"/>
    <w:rsid w:val="00A00D3A"/>
    <w:rsid w:val="00A02C3A"/>
    <w:rsid w:val="00A07AC8"/>
    <w:rsid w:val="00A20DFD"/>
    <w:rsid w:val="00A21B30"/>
    <w:rsid w:val="00A233FE"/>
    <w:rsid w:val="00A368EC"/>
    <w:rsid w:val="00A40163"/>
    <w:rsid w:val="00A4471B"/>
    <w:rsid w:val="00A536FC"/>
    <w:rsid w:val="00A73592"/>
    <w:rsid w:val="00A743AC"/>
    <w:rsid w:val="00A75292"/>
    <w:rsid w:val="00A7566A"/>
    <w:rsid w:val="00A92D48"/>
    <w:rsid w:val="00A944F9"/>
    <w:rsid w:val="00AD5DB1"/>
    <w:rsid w:val="00AE4DE7"/>
    <w:rsid w:val="00AE5570"/>
    <w:rsid w:val="00AE7C8F"/>
    <w:rsid w:val="00AF13B2"/>
    <w:rsid w:val="00AF37F6"/>
    <w:rsid w:val="00B16D3C"/>
    <w:rsid w:val="00B24A6A"/>
    <w:rsid w:val="00B27DD4"/>
    <w:rsid w:val="00B300BA"/>
    <w:rsid w:val="00B46DEB"/>
    <w:rsid w:val="00B73F58"/>
    <w:rsid w:val="00B766D1"/>
    <w:rsid w:val="00B85010"/>
    <w:rsid w:val="00B87E93"/>
    <w:rsid w:val="00B91159"/>
    <w:rsid w:val="00B93C3D"/>
    <w:rsid w:val="00B97438"/>
    <w:rsid w:val="00BB0C8D"/>
    <w:rsid w:val="00BB4124"/>
    <w:rsid w:val="00BB47FE"/>
    <w:rsid w:val="00BB7576"/>
    <w:rsid w:val="00BC31D1"/>
    <w:rsid w:val="00BD5972"/>
    <w:rsid w:val="00BD5B32"/>
    <w:rsid w:val="00BE1946"/>
    <w:rsid w:val="00C07898"/>
    <w:rsid w:val="00C15782"/>
    <w:rsid w:val="00C16617"/>
    <w:rsid w:val="00C27618"/>
    <w:rsid w:val="00C3130F"/>
    <w:rsid w:val="00C50257"/>
    <w:rsid w:val="00C506CC"/>
    <w:rsid w:val="00C572B0"/>
    <w:rsid w:val="00C74B32"/>
    <w:rsid w:val="00C81326"/>
    <w:rsid w:val="00CA2B33"/>
    <w:rsid w:val="00CB05C0"/>
    <w:rsid w:val="00CB08E1"/>
    <w:rsid w:val="00CC2302"/>
    <w:rsid w:val="00CC71E3"/>
    <w:rsid w:val="00CE181E"/>
    <w:rsid w:val="00CF0090"/>
    <w:rsid w:val="00D12C64"/>
    <w:rsid w:val="00D216FA"/>
    <w:rsid w:val="00D22973"/>
    <w:rsid w:val="00D22A95"/>
    <w:rsid w:val="00D31520"/>
    <w:rsid w:val="00D31E8A"/>
    <w:rsid w:val="00D32ADB"/>
    <w:rsid w:val="00D35B72"/>
    <w:rsid w:val="00D40D82"/>
    <w:rsid w:val="00D5730F"/>
    <w:rsid w:val="00D64B02"/>
    <w:rsid w:val="00D71C43"/>
    <w:rsid w:val="00D74D5A"/>
    <w:rsid w:val="00D77ED3"/>
    <w:rsid w:val="00D83BC2"/>
    <w:rsid w:val="00D854AB"/>
    <w:rsid w:val="00D9132A"/>
    <w:rsid w:val="00DA437F"/>
    <w:rsid w:val="00DB78DA"/>
    <w:rsid w:val="00DC400C"/>
    <w:rsid w:val="00DD668E"/>
    <w:rsid w:val="00DE0664"/>
    <w:rsid w:val="00DE2ACE"/>
    <w:rsid w:val="00DE60E3"/>
    <w:rsid w:val="00DF2887"/>
    <w:rsid w:val="00DF7D2C"/>
    <w:rsid w:val="00E02C41"/>
    <w:rsid w:val="00E03492"/>
    <w:rsid w:val="00E22EFD"/>
    <w:rsid w:val="00E26D41"/>
    <w:rsid w:val="00E455D9"/>
    <w:rsid w:val="00E5093B"/>
    <w:rsid w:val="00E54136"/>
    <w:rsid w:val="00E70803"/>
    <w:rsid w:val="00E72E35"/>
    <w:rsid w:val="00E80C71"/>
    <w:rsid w:val="00E91805"/>
    <w:rsid w:val="00E9422B"/>
    <w:rsid w:val="00EA3B69"/>
    <w:rsid w:val="00EB23E5"/>
    <w:rsid w:val="00EB6E52"/>
    <w:rsid w:val="00EC6002"/>
    <w:rsid w:val="00EE443D"/>
    <w:rsid w:val="00F14D41"/>
    <w:rsid w:val="00F1610D"/>
    <w:rsid w:val="00F16584"/>
    <w:rsid w:val="00F253F2"/>
    <w:rsid w:val="00F37294"/>
    <w:rsid w:val="00F51CB1"/>
    <w:rsid w:val="00FC36D5"/>
    <w:rsid w:val="00FC608A"/>
    <w:rsid w:val="00FE1624"/>
    <w:rsid w:val="00FF1322"/>
    <w:rsid w:val="00FF2E72"/>
    <w:rsid w:val="00FF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B9B9"/>
  <w15:chartTrackingRefBased/>
  <w15:docId w15:val="{2E6A3A7D-92BB-47C9-8AD7-1676D1E0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85645">
      <w:bodyDiv w:val="1"/>
      <w:marLeft w:val="0"/>
      <w:marRight w:val="0"/>
      <w:marTop w:val="0"/>
      <w:marBottom w:val="0"/>
      <w:divBdr>
        <w:top w:val="none" w:sz="0" w:space="0" w:color="auto"/>
        <w:left w:val="none" w:sz="0" w:space="0" w:color="auto"/>
        <w:bottom w:val="none" w:sz="0" w:space="0" w:color="auto"/>
        <w:right w:val="none" w:sz="0" w:space="0" w:color="auto"/>
      </w:divBdr>
    </w:div>
    <w:div w:id="18419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5</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Martin</dc:creator>
  <cp:keywords/>
  <dc:description/>
  <cp:lastModifiedBy>Ledgard, Martin</cp:lastModifiedBy>
  <cp:revision>210</cp:revision>
  <dcterms:created xsi:type="dcterms:W3CDTF">2023-05-03T10:31:00Z</dcterms:created>
  <dcterms:modified xsi:type="dcterms:W3CDTF">2023-09-15T07:35:00Z</dcterms:modified>
</cp:coreProperties>
</file>